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1A65E">
      <w:pPr>
        <w:jc w:val="center"/>
        <w:rPr>
          <w:rFonts w:hint="eastAsia"/>
          <w:sz w:val="72"/>
          <w:szCs w:val="72"/>
          <w:lang w:val="en-US" w:eastAsia="zh-CN"/>
        </w:rPr>
      </w:pPr>
      <w:bookmarkStart w:id="14" w:name="_GoBack"/>
      <w:bookmarkEnd w:id="14"/>
    </w:p>
    <w:p w14:paraId="7AB8F22B">
      <w:pPr>
        <w:jc w:val="center"/>
        <w:rPr>
          <w:rFonts w:hint="eastAsia"/>
          <w:sz w:val="72"/>
          <w:szCs w:val="72"/>
          <w:lang w:val="en-US" w:eastAsia="zh-CN"/>
        </w:rPr>
      </w:pPr>
    </w:p>
    <w:p w14:paraId="01AEB6D2">
      <w:pPr>
        <w:jc w:val="center"/>
        <w:rPr>
          <w:rFonts w:hint="eastAsia"/>
          <w:sz w:val="72"/>
          <w:szCs w:val="72"/>
          <w:lang w:val="en-US" w:eastAsia="zh-CN"/>
        </w:rPr>
      </w:pPr>
      <w:r>
        <w:rPr>
          <w:rFonts w:hint="eastAsia"/>
          <w:sz w:val="72"/>
          <w:szCs w:val="72"/>
          <w:lang w:val="en-US" w:eastAsia="zh-CN"/>
        </w:rPr>
        <w:t>征</w:t>
      </w:r>
    </w:p>
    <w:p w14:paraId="07C76C9F">
      <w:pPr>
        <w:jc w:val="center"/>
        <w:rPr>
          <w:rFonts w:hint="eastAsia"/>
          <w:sz w:val="72"/>
          <w:szCs w:val="72"/>
          <w:lang w:val="en-US" w:eastAsia="zh-CN"/>
        </w:rPr>
      </w:pPr>
      <w:r>
        <w:rPr>
          <w:rFonts w:hint="eastAsia"/>
          <w:sz w:val="72"/>
          <w:szCs w:val="72"/>
          <w:lang w:val="en-US" w:eastAsia="zh-CN"/>
        </w:rPr>
        <w:t>集</w:t>
      </w:r>
    </w:p>
    <w:p w14:paraId="4E0A7799">
      <w:pPr>
        <w:jc w:val="center"/>
        <w:rPr>
          <w:rFonts w:hint="eastAsia"/>
          <w:sz w:val="72"/>
          <w:szCs w:val="72"/>
          <w:lang w:val="en-US" w:eastAsia="zh-CN"/>
        </w:rPr>
      </w:pPr>
      <w:r>
        <w:rPr>
          <w:rFonts w:hint="eastAsia"/>
          <w:sz w:val="72"/>
          <w:szCs w:val="72"/>
          <w:lang w:val="en-US" w:eastAsia="zh-CN"/>
        </w:rPr>
        <w:t>比</w:t>
      </w:r>
    </w:p>
    <w:p w14:paraId="0501738B">
      <w:pPr>
        <w:jc w:val="center"/>
        <w:rPr>
          <w:rFonts w:hint="eastAsia"/>
          <w:sz w:val="72"/>
          <w:szCs w:val="72"/>
          <w:lang w:val="en-US" w:eastAsia="zh-CN"/>
        </w:rPr>
      </w:pPr>
      <w:r>
        <w:rPr>
          <w:rFonts w:hint="eastAsia"/>
          <w:sz w:val="72"/>
          <w:szCs w:val="72"/>
          <w:lang w:val="en-US" w:eastAsia="zh-CN"/>
        </w:rPr>
        <w:t>选</w:t>
      </w:r>
    </w:p>
    <w:p w14:paraId="36865648">
      <w:pPr>
        <w:jc w:val="center"/>
        <w:rPr>
          <w:sz w:val="72"/>
          <w:szCs w:val="72"/>
        </w:rPr>
      </w:pPr>
      <w:r>
        <w:rPr>
          <w:rFonts w:hint="eastAsia"/>
          <w:sz w:val="72"/>
          <w:szCs w:val="72"/>
        </w:rPr>
        <w:t>文</w:t>
      </w:r>
    </w:p>
    <w:p w14:paraId="5D15D18D">
      <w:pPr>
        <w:jc w:val="center"/>
        <w:rPr>
          <w:sz w:val="72"/>
          <w:szCs w:val="72"/>
        </w:rPr>
      </w:pPr>
      <w:r>
        <w:rPr>
          <w:rFonts w:hint="eastAsia"/>
          <w:sz w:val="72"/>
          <w:szCs w:val="72"/>
        </w:rPr>
        <w:t>件</w:t>
      </w:r>
    </w:p>
    <w:p w14:paraId="304E976B">
      <w:pPr>
        <w:jc w:val="center"/>
        <w:rPr>
          <w:sz w:val="52"/>
          <w:szCs w:val="52"/>
        </w:rPr>
      </w:pPr>
    </w:p>
    <w:p w14:paraId="272583CA">
      <w:pPr>
        <w:jc w:val="center"/>
        <w:rPr>
          <w:b/>
          <w:bCs/>
          <w:sz w:val="30"/>
          <w:szCs w:val="30"/>
        </w:rPr>
      </w:pPr>
    </w:p>
    <w:p w14:paraId="6E86B0BE">
      <w:pPr>
        <w:jc w:val="center"/>
        <w:rPr>
          <w:b/>
          <w:bCs/>
          <w:sz w:val="30"/>
          <w:szCs w:val="30"/>
        </w:rPr>
      </w:pPr>
    </w:p>
    <w:p w14:paraId="43E8200E">
      <w:pPr>
        <w:jc w:val="center"/>
        <w:rPr>
          <w:b/>
          <w:bCs/>
          <w:sz w:val="30"/>
          <w:szCs w:val="30"/>
        </w:rPr>
      </w:pPr>
    </w:p>
    <w:p w14:paraId="2E821965">
      <w:pPr>
        <w:jc w:val="center"/>
        <w:rPr>
          <w:b/>
          <w:bCs/>
          <w:sz w:val="30"/>
          <w:szCs w:val="30"/>
        </w:rPr>
      </w:pPr>
    </w:p>
    <w:p w14:paraId="6A372433">
      <w:pPr>
        <w:jc w:val="center"/>
        <w:rPr>
          <w:b/>
          <w:bCs/>
          <w:sz w:val="30"/>
          <w:szCs w:val="30"/>
        </w:rPr>
      </w:pPr>
      <w:r>
        <w:rPr>
          <w:rFonts w:hint="eastAsia"/>
          <w:b/>
          <w:bCs/>
          <w:sz w:val="30"/>
          <w:szCs w:val="30"/>
        </w:rPr>
        <w:t>项目名称：</w:t>
      </w:r>
      <w:bookmarkStart w:id="0" w:name="OLE_LINK7"/>
      <w:bookmarkStart w:id="1" w:name="OLE_LINK5"/>
      <w:bookmarkStart w:id="2" w:name="OLE_LINK6"/>
      <w:r>
        <w:rPr>
          <w:rFonts w:hint="eastAsia"/>
          <w:b/>
          <w:bCs/>
          <w:sz w:val="30"/>
          <w:szCs w:val="30"/>
          <w:u w:val="single"/>
        </w:rPr>
        <w:t>金銮湾景区</w:t>
      </w:r>
      <w:bookmarkEnd w:id="0"/>
      <w:r>
        <w:rPr>
          <w:rFonts w:hint="eastAsia"/>
          <w:b/>
          <w:bCs/>
          <w:sz w:val="30"/>
          <w:szCs w:val="30"/>
          <w:u w:val="single"/>
        </w:rPr>
        <w:t>（福莱喜大酒店）</w:t>
      </w:r>
      <w:bookmarkEnd w:id="1"/>
      <w:r>
        <w:rPr>
          <w:rFonts w:hint="eastAsia"/>
          <w:b/>
          <w:bCs/>
          <w:sz w:val="30"/>
          <w:szCs w:val="30"/>
          <w:u w:val="single"/>
        </w:rPr>
        <w:t>概念性规划设计</w:t>
      </w:r>
      <w:bookmarkEnd w:id="2"/>
    </w:p>
    <w:p w14:paraId="565325B3">
      <w:pPr>
        <w:jc w:val="center"/>
        <w:rPr>
          <w:b/>
          <w:bCs/>
          <w:sz w:val="30"/>
          <w:szCs w:val="30"/>
        </w:rPr>
      </w:pPr>
      <w:r>
        <w:rPr>
          <w:rFonts w:hint="eastAsia"/>
          <w:b/>
          <w:bCs/>
          <w:sz w:val="30"/>
          <w:szCs w:val="30"/>
        </w:rPr>
        <w:t>采 购 人：福建</w:t>
      </w:r>
      <w:r>
        <w:rPr>
          <w:rFonts w:hint="eastAsia"/>
          <w:b/>
          <w:bCs/>
          <w:sz w:val="30"/>
          <w:szCs w:val="30"/>
          <w:u w:val="single"/>
        </w:rPr>
        <w:t>福旅青年文化交流有限公司</w:t>
      </w:r>
    </w:p>
    <w:p w14:paraId="2BE56AF6">
      <w:pPr>
        <w:ind w:firstLine="1506" w:firstLineChars="500"/>
        <w:rPr>
          <w:b/>
          <w:bCs/>
          <w:sz w:val="30"/>
          <w:szCs w:val="30"/>
          <w:u w:val="single"/>
        </w:rPr>
      </w:pPr>
      <w:r>
        <w:rPr>
          <w:rFonts w:hint="eastAsia"/>
          <w:b/>
          <w:bCs/>
          <w:sz w:val="30"/>
          <w:szCs w:val="30"/>
        </w:rPr>
        <w:t>日     期：</w:t>
      </w:r>
      <w:r>
        <w:rPr>
          <w:rFonts w:hint="eastAsia"/>
          <w:b/>
          <w:bCs/>
          <w:sz w:val="30"/>
          <w:szCs w:val="30"/>
          <w:u w:val="single"/>
        </w:rPr>
        <w:t>2025年7月25日</w:t>
      </w:r>
    </w:p>
    <w:p w14:paraId="261765AE">
      <w:pPr>
        <w:jc w:val="center"/>
        <w:rPr>
          <w:sz w:val="52"/>
          <w:szCs w:val="52"/>
        </w:rPr>
      </w:pPr>
    </w:p>
    <w:p w14:paraId="4B6DC930">
      <w:pPr>
        <w:jc w:val="center"/>
        <w:rPr>
          <w:rFonts w:ascii="仿宋" w:hAnsi="仿宋" w:eastAsia="仿宋" w:cs="仿宋"/>
          <w:b/>
          <w:bCs/>
          <w:sz w:val="32"/>
          <w:szCs w:val="32"/>
        </w:rPr>
      </w:pPr>
      <w:r>
        <w:rPr>
          <w:rFonts w:hint="eastAsia" w:ascii="仿宋" w:hAnsi="仿宋" w:eastAsia="仿宋" w:cs="仿宋"/>
          <w:b/>
          <w:bCs/>
          <w:sz w:val="32"/>
          <w:szCs w:val="32"/>
        </w:rPr>
        <w:t xml:space="preserve">第一章 </w:t>
      </w:r>
      <w:r>
        <w:rPr>
          <w:rFonts w:hint="eastAsia" w:ascii="仿宋" w:hAnsi="仿宋" w:eastAsia="仿宋" w:cs="仿宋"/>
          <w:b/>
          <w:bCs/>
          <w:sz w:val="32"/>
          <w:szCs w:val="32"/>
          <w:lang w:val="en-US" w:eastAsia="zh-CN"/>
        </w:rPr>
        <w:t>征集比选</w:t>
      </w:r>
      <w:r>
        <w:rPr>
          <w:rFonts w:hint="eastAsia" w:ascii="仿宋" w:hAnsi="仿宋" w:eastAsia="仿宋" w:cs="仿宋"/>
          <w:b/>
          <w:bCs/>
          <w:sz w:val="32"/>
          <w:szCs w:val="32"/>
        </w:rPr>
        <w:t>公告</w:t>
      </w:r>
    </w:p>
    <w:p w14:paraId="30846E71">
      <w:pPr>
        <w:rPr>
          <w:rFonts w:ascii="仿宋" w:hAnsi="仿宋" w:eastAsia="仿宋" w:cs="仿宋"/>
          <w:sz w:val="32"/>
          <w:szCs w:val="32"/>
        </w:rPr>
      </w:pPr>
    </w:p>
    <w:p w14:paraId="33FDF086">
      <w:pPr>
        <w:spacing w:line="560" w:lineRule="exact"/>
        <w:ind w:firstLine="640" w:firstLineChars="200"/>
        <w:rPr>
          <w:rFonts w:ascii="仿宋" w:hAnsi="仿宋" w:eastAsia="仿宋" w:cs="仿宋"/>
        </w:rPr>
      </w:pPr>
      <w:r>
        <w:rPr>
          <w:rFonts w:hint="eastAsia" w:ascii="仿宋" w:hAnsi="仿宋" w:eastAsia="仿宋" w:cs="仿宋"/>
          <w:sz w:val="32"/>
          <w:szCs w:val="32"/>
        </w:rPr>
        <w:t>金銮湾景区位于福建漳州市东山县樟塘镇，是东山七个月牙形海湾之一，以福莱喜大酒店为依托，以不破坏原形地貌，保留原生态自然景观为原则的基础上，采用合理修缮、合理布局、合理规划、综合管理的手法，打造出一个集户外体验、旅游观光、休闲度假、休憩娱乐等多功能于一体的综合旅游地。为更好承接经营，现我司采用</w:t>
      </w:r>
      <w:r>
        <w:rPr>
          <w:rFonts w:hint="eastAsia" w:ascii="仿宋" w:hAnsi="仿宋" w:eastAsia="仿宋" w:cs="仿宋"/>
          <w:sz w:val="32"/>
          <w:szCs w:val="32"/>
          <w:lang w:val="en-US" w:eastAsia="zh-CN"/>
        </w:rPr>
        <w:t>征集比选</w:t>
      </w:r>
      <w:r>
        <w:rPr>
          <w:rFonts w:hint="eastAsia" w:ascii="仿宋" w:hAnsi="仿宋" w:eastAsia="仿宋" w:cs="仿宋"/>
          <w:sz w:val="32"/>
          <w:szCs w:val="32"/>
        </w:rPr>
        <w:t>方式选定供应商开展项目概念性规划设计，欢迎符合资格条件的供应商前来参与</w:t>
      </w:r>
      <w:r>
        <w:rPr>
          <w:rFonts w:hint="eastAsia" w:ascii="仿宋" w:hAnsi="仿宋" w:eastAsia="仿宋" w:cs="仿宋"/>
          <w:sz w:val="32"/>
          <w:szCs w:val="32"/>
          <w:lang w:eastAsia="zh-CN"/>
        </w:rPr>
        <w:t>比选</w:t>
      </w:r>
      <w:r>
        <w:rPr>
          <w:rFonts w:hint="eastAsia" w:ascii="仿宋" w:hAnsi="仿宋" w:eastAsia="仿宋" w:cs="仿宋"/>
          <w:sz w:val="32"/>
          <w:szCs w:val="32"/>
        </w:rPr>
        <w:t>。</w:t>
      </w:r>
    </w:p>
    <w:p w14:paraId="3513D0B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一、项目名称：</w:t>
      </w:r>
      <w:r>
        <w:rPr>
          <w:rFonts w:hint="eastAsia" w:ascii="仿宋" w:hAnsi="仿宋" w:eastAsia="仿宋" w:cs="仿宋"/>
          <w:sz w:val="32"/>
          <w:szCs w:val="32"/>
        </w:rPr>
        <w:t>金銮湾景区（福莱喜大酒店）项目概念性规划设计</w:t>
      </w:r>
    </w:p>
    <w:p w14:paraId="5605C34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二、规划设计内容要求：</w:t>
      </w:r>
      <w:bookmarkStart w:id="3" w:name="OLE_LINK8"/>
      <w:r>
        <w:rPr>
          <w:rFonts w:hint="eastAsia" w:ascii="仿宋" w:hAnsi="仿宋" w:eastAsia="仿宋" w:cs="仿宋"/>
          <w:sz w:val="32"/>
          <w:szCs w:val="32"/>
        </w:rPr>
        <w:t>包括但不限于项目背景与基础分析、总体定位与目标、空间布局与功能分区、核心产品与业态设计、景观与生态设计、基础设施与服务体系、投资与运营建议等</w:t>
      </w:r>
      <w:bookmarkEnd w:id="3"/>
      <w:r>
        <w:rPr>
          <w:rFonts w:hint="eastAsia" w:ascii="仿宋" w:hAnsi="仿宋" w:eastAsia="仿宋" w:cs="仿宋"/>
          <w:sz w:val="32"/>
          <w:szCs w:val="32"/>
        </w:rPr>
        <w:t>。</w:t>
      </w:r>
    </w:p>
    <w:p w14:paraId="6939AA8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三、最高限价：</w:t>
      </w:r>
      <w:r>
        <w:rPr>
          <w:rFonts w:hint="eastAsia" w:ascii="仿宋" w:hAnsi="仿宋" w:eastAsia="仿宋" w:cs="仿宋"/>
          <w:sz w:val="32"/>
          <w:szCs w:val="32"/>
        </w:rPr>
        <w:t>30万元（不含）</w:t>
      </w:r>
    </w:p>
    <w:p w14:paraId="28F0781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四、评审办法：</w:t>
      </w:r>
      <w:r>
        <w:rPr>
          <w:rFonts w:hint="eastAsia" w:ascii="仿宋" w:hAnsi="仿宋" w:eastAsia="仿宋" w:cs="仿宋"/>
          <w:sz w:val="32"/>
          <w:szCs w:val="32"/>
        </w:rPr>
        <w:t>综合评分法</w:t>
      </w:r>
    </w:p>
    <w:p w14:paraId="46D77782">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五、供应商资格要求：</w:t>
      </w:r>
    </w:p>
    <w:p w14:paraId="3C8650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1.具备独立法人资格，持有有效营业执照；</w:t>
      </w:r>
    </w:p>
    <w:p w14:paraId="4A7433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2.持有城乡规划编制等相关资质。</w:t>
      </w:r>
    </w:p>
    <w:p w14:paraId="222A71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3.本次</w:t>
      </w:r>
      <w:r>
        <w:rPr>
          <w:rFonts w:hint="eastAsia" w:ascii="仿宋" w:hAnsi="仿宋" w:eastAsia="仿宋" w:cs="仿宋"/>
          <w:sz w:val="32"/>
          <w:szCs w:val="32"/>
          <w:lang w:eastAsia="zh-CN"/>
        </w:rPr>
        <w:t>比选</w:t>
      </w:r>
      <w:r>
        <w:rPr>
          <w:rFonts w:hint="eastAsia" w:ascii="仿宋" w:hAnsi="仿宋" w:eastAsia="仿宋" w:cs="仿宋"/>
          <w:sz w:val="32"/>
          <w:szCs w:val="32"/>
        </w:rPr>
        <w:t>不接受联合体。</w:t>
      </w:r>
    </w:p>
    <w:p w14:paraId="7AD3F228">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六、响应要求：</w:t>
      </w:r>
    </w:p>
    <w:p w14:paraId="5B0E6B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凡有意单位于2025年7月30日上午12:00前将响应文件成册并盖章密封后送到</w:t>
      </w:r>
      <w:bookmarkStart w:id="4" w:name="OLE_LINK2"/>
      <w:r>
        <w:rPr>
          <w:rFonts w:hint="eastAsia" w:ascii="仿宋" w:hAnsi="仿宋" w:eastAsia="仿宋" w:cs="仿宋"/>
          <w:sz w:val="32"/>
          <w:szCs w:val="32"/>
        </w:rPr>
        <w:t>福建福旅青年文化交流有限公司</w:t>
      </w:r>
      <w:bookmarkEnd w:id="4"/>
      <w:r>
        <w:rPr>
          <w:rFonts w:hint="eastAsia" w:ascii="仿宋" w:hAnsi="仿宋" w:eastAsia="仿宋" w:cs="仿宋"/>
          <w:sz w:val="32"/>
          <w:szCs w:val="32"/>
        </w:rPr>
        <w:t>指定地点（地址：</w:t>
      </w:r>
      <w:bookmarkStart w:id="5" w:name="OLE_LINK3"/>
      <w:r>
        <w:rPr>
          <w:rFonts w:hint="eastAsia" w:ascii="仿宋" w:hAnsi="仿宋" w:eastAsia="仿宋" w:cs="仿宋"/>
          <w:sz w:val="32"/>
          <w:szCs w:val="32"/>
        </w:rPr>
        <w:t>福建省漳州市大通北路55号</w:t>
      </w:r>
      <w:bookmarkEnd w:id="5"/>
      <w:r>
        <w:rPr>
          <w:rFonts w:hint="eastAsia" w:ascii="仿宋" w:hAnsi="仿宋" w:eastAsia="仿宋" w:cs="仿宋"/>
          <w:sz w:val="32"/>
          <w:szCs w:val="32"/>
        </w:rPr>
        <w:t>（福旅（漳州）旅发集团4楼），联系人：小黄，电话：0596-2022165）。响应文件包含：法定代表人资格证明、营业执照、企业信誉承诺、声明函等相关材料（详见</w:t>
      </w:r>
      <w:r>
        <w:rPr>
          <w:rFonts w:hint="eastAsia" w:ascii="仿宋" w:hAnsi="仿宋" w:eastAsia="仿宋" w:cs="仿宋"/>
          <w:sz w:val="32"/>
          <w:szCs w:val="32"/>
          <w:lang w:eastAsia="zh-CN"/>
        </w:rPr>
        <w:t>比选</w:t>
      </w:r>
      <w:r>
        <w:rPr>
          <w:rFonts w:hint="eastAsia" w:ascii="仿宋" w:hAnsi="仿宋" w:eastAsia="仿宋" w:cs="仿宋"/>
          <w:sz w:val="32"/>
          <w:szCs w:val="32"/>
        </w:rPr>
        <w:t xml:space="preserve">文件第五章）。 </w:t>
      </w:r>
    </w:p>
    <w:p w14:paraId="1A918133">
      <w:pPr>
        <w:spacing w:line="560" w:lineRule="exact"/>
        <w:ind w:firstLine="643" w:firstLineChars="200"/>
        <w:rPr>
          <w:rFonts w:ascii="仿宋" w:hAnsi="仿宋" w:eastAsia="仿宋" w:cs="仿宋"/>
          <w:sz w:val="32"/>
          <w:szCs w:val="32"/>
        </w:rPr>
      </w:pPr>
      <w:r>
        <w:rPr>
          <w:rFonts w:ascii="仿宋" w:hAnsi="仿宋" w:eastAsia="仿宋" w:cs="仿宋"/>
          <w:b/>
          <w:bCs/>
          <w:kern w:val="2"/>
          <w:sz w:val="32"/>
          <w:szCs w:val="32"/>
        </w:rPr>
        <w:t>七、</w:t>
      </w:r>
      <w:bookmarkStart w:id="6" w:name="_Toc13145"/>
      <w:bookmarkStart w:id="7" w:name="_Toc15530"/>
      <w:bookmarkStart w:id="8" w:name="_Toc19193"/>
      <w:r>
        <w:rPr>
          <w:rFonts w:ascii="仿宋" w:hAnsi="仿宋" w:eastAsia="仿宋" w:cs="仿宋"/>
          <w:b/>
          <w:bCs/>
          <w:kern w:val="2"/>
          <w:sz w:val="32"/>
          <w:szCs w:val="32"/>
        </w:rPr>
        <w:t>公告期限：</w:t>
      </w:r>
      <w:r>
        <w:rPr>
          <w:rFonts w:ascii="仿宋" w:hAnsi="仿宋" w:eastAsia="仿宋" w:cs="仿宋"/>
          <w:kern w:val="2"/>
          <w:sz w:val="32"/>
          <w:szCs w:val="32"/>
        </w:rPr>
        <w:t>自发布公告之日起3个工作日。</w:t>
      </w:r>
      <w:bookmarkEnd w:id="6"/>
      <w:bookmarkEnd w:id="7"/>
      <w:bookmarkEnd w:id="8"/>
    </w:p>
    <w:p w14:paraId="075C6D5D">
      <w:pPr>
        <w:pStyle w:val="18"/>
        <w:spacing w:line="440" w:lineRule="exact"/>
        <w:ind w:firstLine="643" w:firstLineChars="200"/>
        <w:jc w:val="both"/>
        <w:outlineLvl w:val="1"/>
        <w:rPr>
          <w:rFonts w:hint="default" w:ascii="仿宋" w:hAnsi="仿宋" w:eastAsia="仿宋" w:cs="仿宋"/>
          <w:kern w:val="2"/>
          <w:sz w:val="32"/>
          <w:szCs w:val="32"/>
        </w:rPr>
      </w:pPr>
      <w:bookmarkStart w:id="9" w:name="_Toc26669"/>
      <w:bookmarkStart w:id="10" w:name="_Toc17037"/>
      <w:bookmarkStart w:id="11" w:name="_Toc30939"/>
      <w:r>
        <w:rPr>
          <w:rFonts w:ascii="仿宋" w:hAnsi="仿宋" w:eastAsia="仿宋" w:cs="仿宋"/>
          <w:b/>
          <w:bCs/>
          <w:kern w:val="2"/>
          <w:sz w:val="32"/>
          <w:szCs w:val="32"/>
        </w:rPr>
        <w:t>八、公告媒介：</w:t>
      </w:r>
      <w:r>
        <w:rPr>
          <w:rFonts w:ascii="仿宋" w:hAnsi="仿宋" w:eastAsia="仿宋" w:cs="仿宋"/>
          <w:kern w:val="2"/>
          <w:sz w:val="32"/>
          <w:szCs w:val="32"/>
        </w:rPr>
        <w:t>福旅（漳州）旅游发展集团有限公司官网（网址http://zzlf.fjlygroup.com/index.html）</w:t>
      </w:r>
    </w:p>
    <w:bookmarkEnd w:id="9"/>
    <w:bookmarkEnd w:id="10"/>
    <w:bookmarkEnd w:id="11"/>
    <w:p w14:paraId="60DF8383">
      <w:pPr>
        <w:pStyle w:val="6"/>
        <w:ind w:left="0"/>
        <w:jc w:val="right"/>
        <w:rPr>
          <w:rFonts w:ascii="仿宋" w:hAnsi="仿宋" w:eastAsia="仿宋" w:cs="仿宋"/>
          <w:sz w:val="32"/>
          <w:szCs w:val="32"/>
        </w:rPr>
      </w:pPr>
    </w:p>
    <w:p w14:paraId="374EB669">
      <w:pPr>
        <w:pStyle w:val="6"/>
        <w:ind w:left="0"/>
        <w:rPr>
          <w:rFonts w:ascii="仿宋" w:hAnsi="仿宋" w:eastAsia="仿宋" w:cs="仿宋"/>
          <w:sz w:val="32"/>
          <w:szCs w:val="32"/>
        </w:rPr>
      </w:pPr>
    </w:p>
    <w:p w14:paraId="77760A21">
      <w:pPr>
        <w:ind w:left="1915" w:leftChars="912" w:firstLine="320" w:firstLineChars="100"/>
        <w:jc w:val="center"/>
      </w:pPr>
      <w:r>
        <w:rPr>
          <w:rFonts w:hint="eastAsia" w:ascii="仿宋" w:hAnsi="仿宋" w:eastAsia="仿宋" w:cs="仿宋"/>
          <w:sz w:val="32"/>
          <w:szCs w:val="32"/>
        </w:rPr>
        <w:t>福建福旅青年文化交流有限公司                     2025年7月25日</w:t>
      </w:r>
    </w:p>
    <w:p w14:paraId="605CB130">
      <w:pPr>
        <w:rPr>
          <w:rFonts w:ascii="仿宋" w:hAnsi="仿宋" w:eastAsia="仿宋" w:cs="仿宋"/>
        </w:rPr>
      </w:pPr>
    </w:p>
    <w:p w14:paraId="4CFD89BE"/>
    <w:p w14:paraId="5B629578"/>
    <w:p w14:paraId="5E8FBA98"/>
    <w:p w14:paraId="15B8F608"/>
    <w:p w14:paraId="23A6211B"/>
    <w:p w14:paraId="2BA7D3F4"/>
    <w:p w14:paraId="31F2A498"/>
    <w:p w14:paraId="0D4B2190"/>
    <w:p w14:paraId="2EC0EF94">
      <w:pPr>
        <w:jc w:val="center"/>
        <w:rPr>
          <w:rFonts w:ascii="仿宋" w:hAnsi="仿宋" w:eastAsia="仿宋" w:cs="仿宋"/>
          <w:b/>
          <w:bCs/>
          <w:sz w:val="32"/>
          <w:szCs w:val="32"/>
        </w:rPr>
      </w:pPr>
    </w:p>
    <w:p w14:paraId="025DC573">
      <w:pPr>
        <w:jc w:val="center"/>
        <w:rPr>
          <w:rFonts w:ascii="仿宋" w:hAnsi="仿宋" w:eastAsia="仿宋" w:cs="仿宋"/>
          <w:b/>
          <w:bCs/>
          <w:sz w:val="32"/>
          <w:szCs w:val="32"/>
        </w:rPr>
      </w:pPr>
    </w:p>
    <w:p w14:paraId="50059A55">
      <w:pPr>
        <w:jc w:val="center"/>
        <w:rPr>
          <w:rFonts w:ascii="仿宋" w:hAnsi="仿宋" w:eastAsia="仿宋" w:cs="仿宋"/>
          <w:b/>
          <w:bCs/>
          <w:sz w:val="32"/>
          <w:szCs w:val="32"/>
        </w:rPr>
      </w:pPr>
    </w:p>
    <w:p w14:paraId="5A7375B4">
      <w:pPr>
        <w:jc w:val="center"/>
        <w:rPr>
          <w:rFonts w:ascii="仿宋" w:hAnsi="仿宋" w:eastAsia="仿宋" w:cs="仿宋"/>
          <w:b/>
          <w:bCs/>
          <w:sz w:val="32"/>
          <w:szCs w:val="32"/>
        </w:rPr>
      </w:pPr>
    </w:p>
    <w:p w14:paraId="74665EF7">
      <w:pPr>
        <w:jc w:val="center"/>
        <w:rPr>
          <w:rFonts w:hint="eastAsia" w:ascii="仿宋" w:hAnsi="仿宋" w:eastAsia="仿宋" w:cs="仿宋"/>
          <w:b/>
          <w:bCs/>
          <w:sz w:val="32"/>
          <w:szCs w:val="32"/>
        </w:rPr>
      </w:pPr>
    </w:p>
    <w:p w14:paraId="3E468598">
      <w:pPr>
        <w:jc w:val="center"/>
        <w:rPr>
          <w:rFonts w:hint="eastAsia" w:ascii="仿宋" w:hAnsi="仿宋" w:eastAsia="仿宋" w:cs="仿宋"/>
          <w:b/>
          <w:bCs/>
          <w:sz w:val="32"/>
          <w:szCs w:val="32"/>
        </w:rPr>
      </w:pPr>
    </w:p>
    <w:p w14:paraId="370EABC1">
      <w:pPr>
        <w:jc w:val="center"/>
        <w:rPr>
          <w:rFonts w:hint="eastAsia" w:ascii="仿宋" w:hAnsi="仿宋" w:eastAsia="仿宋" w:cs="仿宋"/>
          <w:b/>
          <w:bCs/>
          <w:sz w:val="32"/>
          <w:szCs w:val="32"/>
        </w:rPr>
      </w:pPr>
    </w:p>
    <w:p w14:paraId="6056A792">
      <w:pPr>
        <w:jc w:val="center"/>
        <w:rPr>
          <w:rFonts w:ascii="仿宋" w:hAnsi="仿宋" w:eastAsia="仿宋" w:cs="仿宋"/>
          <w:b/>
          <w:bCs/>
          <w:sz w:val="32"/>
          <w:szCs w:val="32"/>
        </w:rPr>
      </w:pPr>
      <w:r>
        <w:rPr>
          <w:rFonts w:hint="eastAsia" w:ascii="仿宋" w:hAnsi="仿宋" w:eastAsia="仿宋" w:cs="仿宋"/>
          <w:b/>
          <w:bCs/>
          <w:sz w:val="32"/>
          <w:szCs w:val="32"/>
        </w:rPr>
        <w:t xml:space="preserve">第二章 </w:t>
      </w:r>
      <w:r>
        <w:rPr>
          <w:rFonts w:hint="eastAsia" w:ascii="仿宋" w:hAnsi="仿宋" w:eastAsia="仿宋" w:cs="仿宋"/>
          <w:b/>
          <w:bCs/>
          <w:sz w:val="32"/>
          <w:szCs w:val="32"/>
          <w:lang w:val="en-US" w:eastAsia="zh-CN"/>
        </w:rPr>
        <w:t>比选</w:t>
      </w:r>
      <w:r>
        <w:rPr>
          <w:rFonts w:hint="eastAsia" w:ascii="仿宋" w:hAnsi="仿宋" w:eastAsia="仿宋" w:cs="仿宋"/>
          <w:b/>
          <w:bCs/>
          <w:sz w:val="32"/>
          <w:szCs w:val="32"/>
        </w:rPr>
        <w:t>程序</w:t>
      </w:r>
    </w:p>
    <w:p w14:paraId="3D5BAD76">
      <w:pPr>
        <w:jc w:val="left"/>
        <w:rPr>
          <w:rFonts w:ascii="仿宋" w:hAnsi="仿宋" w:eastAsia="仿宋" w:cs="仿宋"/>
          <w:sz w:val="32"/>
          <w:szCs w:val="32"/>
        </w:rPr>
      </w:pPr>
    </w:p>
    <w:p w14:paraId="206481F4">
      <w:pPr>
        <w:jc w:val="left"/>
        <w:rPr>
          <w:rFonts w:ascii="仿宋" w:hAnsi="仿宋" w:eastAsia="仿宋" w:cs="仿宋"/>
          <w:sz w:val="32"/>
          <w:szCs w:val="32"/>
        </w:rPr>
      </w:pPr>
      <w:r>
        <w:rPr>
          <w:rFonts w:hint="eastAsia" w:ascii="仿宋" w:hAnsi="仿宋" w:eastAsia="仿宋" w:cs="仿宋"/>
          <w:sz w:val="32"/>
          <w:szCs w:val="32"/>
        </w:rPr>
        <w:t>1.当响应供应商不少于三家时，进入资格审查，若响应人不足三家，则本次采购流标；</w:t>
      </w:r>
    </w:p>
    <w:p w14:paraId="53EED716">
      <w:pPr>
        <w:jc w:val="left"/>
        <w:rPr>
          <w:rFonts w:ascii="仿宋" w:hAnsi="仿宋" w:eastAsia="仿宋" w:cs="仿宋"/>
          <w:sz w:val="32"/>
          <w:szCs w:val="32"/>
        </w:rPr>
      </w:pPr>
      <w:r>
        <w:rPr>
          <w:rFonts w:hint="eastAsia" w:ascii="仿宋" w:hAnsi="仿宋" w:eastAsia="仿宋" w:cs="仿宋"/>
          <w:sz w:val="32"/>
          <w:szCs w:val="32"/>
        </w:rPr>
        <w:t>2.经评审小组资格审核合格通过的供应商进入</w:t>
      </w:r>
      <w:r>
        <w:rPr>
          <w:rFonts w:hint="eastAsia" w:ascii="仿宋" w:hAnsi="仿宋" w:eastAsia="仿宋" w:cs="仿宋"/>
          <w:sz w:val="32"/>
          <w:szCs w:val="32"/>
          <w:lang w:val="en-US" w:eastAsia="zh-CN"/>
        </w:rPr>
        <w:t>比选</w:t>
      </w:r>
      <w:r>
        <w:rPr>
          <w:rFonts w:hint="eastAsia" w:ascii="仿宋" w:hAnsi="仿宋" w:eastAsia="仿宋" w:cs="仿宋"/>
          <w:sz w:val="32"/>
          <w:szCs w:val="32"/>
        </w:rPr>
        <w:t>环节，</w:t>
      </w:r>
      <w:bookmarkStart w:id="12" w:name="OLE_LINK4"/>
      <w:r>
        <w:rPr>
          <w:rFonts w:hint="eastAsia" w:ascii="仿宋" w:hAnsi="仿宋" w:eastAsia="仿宋" w:cs="仿宋"/>
          <w:sz w:val="32"/>
          <w:szCs w:val="32"/>
        </w:rPr>
        <w:t>若资格审核通过不足三家，则本次采购流标</w:t>
      </w:r>
      <w:bookmarkEnd w:id="12"/>
      <w:r>
        <w:rPr>
          <w:rFonts w:hint="eastAsia" w:ascii="仿宋" w:hAnsi="仿宋" w:eastAsia="仿宋" w:cs="仿宋"/>
          <w:sz w:val="32"/>
          <w:szCs w:val="32"/>
        </w:rPr>
        <w:t>；</w:t>
      </w:r>
    </w:p>
    <w:p w14:paraId="67525FCA">
      <w:pPr>
        <w:jc w:val="left"/>
        <w:rPr>
          <w:rFonts w:ascii="仿宋" w:hAnsi="仿宋" w:eastAsia="仿宋" w:cs="仿宋"/>
          <w:sz w:val="32"/>
          <w:szCs w:val="32"/>
        </w:rPr>
      </w:pPr>
      <w:r>
        <w:rPr>
          <w:rFonts w:hint="eastAsia" w:ascii="仿宋" w:hAnsi="仿宋" w:eastAsia="仿宋" w:cs="仿宋"/>
          <w:sz w:val="32"/>
          <w:szCs w:val="32"/>
        </w:rPr>
        <w:t>3.评审小组将采用综合评分法，对供应商的响应文件和报价进行量化评分，并推荐成交候选人。</w:t>
      </w:r>
    </w:p>
    <w:p w14:paraId="2A39A122"/>
    <w:p w14:paraId="5AE9378E"/>
    <w:p w14:paraId="528D67B5"/>
    <w:p w14:paraId="242C6C21"/>
    <w:p w14:paraId="1615FBA5"/>
    <w:p w14:paraId="69117104"/>
    <w:p w14:paraId="3F55D780"/>
    <w:p w14:paraId="235F9FB9"/>
    <w:p w14:paraId="470EE3EA"/>
    <w:p w14:paraId="1D7F43C1"/>
    <w:p w14:paraId="492EA7C0"/>
    <w:p w14:paraId="65F46147"/>
    <w:p w14:paraId="04AC0759"/>
    <w:p w14:paraId="7557057C"/>
    <w:p w14:paraId="37E3C57D"/>
    <w:p w14:paraId="46B38696"/>
    <w:p w14:paraId="3A2797CF"/>
    <w:p w14:paraId="7A82220C"/>
    <w:p w14:paraId="16DBD8A0">
      <w:pPr>
        <w:jc w:val="center"/>
        <w:rPr>
          <w:rFonts w:ascii="仿宋" w:hAnsi="仿宋" w:eastAsia="仿宋" w:cs="仿宋"/>
          <w:b/>
          <w:bCs/>
          <w:sz w:val="32"/>
          <w:szCs w:val="32"/>
        </w:rPr>
      </w:pPr>
    </w:p>
    <w:p w14:paraId="21E295A5">
      <w:pPr>
        <w:jc w:val="center"/>
        <w:rPr>
          <w:rFonts w:ascii="仿宋" w:hAnsi="仿宋" w:eastAsia="仿宋" w:cs="仿宋"/>
          <w:b/>
          <w:bCs/>
          <w:sz w:val="32"/>
          <w:szCs w:val="32"/>
        </w:rPr>
      </w:pPr>
    </w:p>
    <w:p w14:paraId="68F054B6">
      <w:pPr>
        <w:jc w:val="center"/>
        <w:rPr>
          <w:rFonts w:ascii="仿宋" w:hAnsi="仿宋" w:eastAsia="仿宋" w:cs="仿宋"/>
          <w:b/>
          <w:bCs/>
          <w:sz w:val="32"/>
          <w:szCs w:val="32"/>
        </w:rPr>
      </w:pPr>
    </w:p>
    <w:p w14:paraId="1BB7CDE8">
      <w:pPr>
        <w:jc w:val="center"/>
        <w:rPr>
          <w:rFonts w:hint="eastAsia" w:ascii="仿宋" w:hAnsi="仿宋" w:eastAsia="仿宋" w:cs="仿宋"/>
          <w:b/>
          <w:bCs/>
          <w:color w:val="000000"/>
          <w:sz w:val="32"/>
          <w:szCs w:val="32"/>
        </w:rPr>
      </w:pPr>
    </w:p>
    <w:p w14:paraId="24AF4DF8">
      <w:pPr>
        <w:jc w:val="center"/>
        <w:rPr>
          <w:rFonts w:hint="eastAsia" w:ascii="仿宋" w:hAnsi="仿宋" w:eastAsia="仿宋" w:cs="仿宋"/>
          <w:b/>
          <w:bCs/>
          <w:color w:val="000000"/>
          <w:sz w:val="32"/>
          <w:szCs w:val="32"/>
        </w:rPr>
      </w:pPr>
    </w:p>
    <w:p w14:paraId="0DFD8B4B">
      <w:pPr>
        <w:jc w:val="center"/>
        <w:rPr>
          <w:rFonts w:ascii="仿宋" w:hAnsi="仿宋" w:eastAsia="仿宋" w:cs="仿宋"/>
          <w:b/>
          <w:bCs/>
          <w:color w:val="000000"/>
          <w:sz w:val="24"/>
        </w:rPr>
      </w:pPr>
      <w:r>
        <w:rPr>
          <w:rFonts w:hint="eastAsia" w:ascii="仿宋" w:hAnsi="仿宋" w:eastAsia="仿宋" w:cs="仿宋"/>
          <w:b/>
          <w:bCs/>
          <w:color w:val="000000"/>
          <w:sz w:val="32"/>
          <w:szCs w:val="32"/>
        </w:rPr>
        <w:t>第三章 评分标准</w:t>
      </w:r>
    </w:p>
    <w:tbl>
      <w:tblPr>
        <w:tblStyle w:val="15"/>
        <w:tblpPr w:leftFromText="180" w:rightFromText="180" w:vertAnchor="page" w:horzAnchor="page" w:tblpX="1296" w:tblpY="2775"/>
        <w:tblOverlap w:val="never"/>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1763"/>
        <w:gridCol w:w="5783"/>
      </w:tblGrid>
      <w:tr w14:paraId="6B70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12" w:type="dxa"/>
            <w:tcBorders>
              <w:top w:val="single" w:color="auto" w:sz="4" w:space="0"/>
              <w:left w:val="single" w:color="auto" w:sz="4" w:space="0"/>
              <w:bottom w:val="single" w:color="auto" w:sz="4" w:space="0"/>
              <w:right w:val="single" w:color="auto" w:sz="4" w:space="0"/>
            </w:tcBorders>
            <w:vAlign w:val="center"/>
          </w:tcPr>
          <w:p w14:paraId="31751468">
            <w:pPr>
              <w:spacing w:line="560" w:lineRule="exact"/>
              <w:jc w:val="center"/>
              <w:rPr>
                <w:rFonts w:ascii="宋体" w:hAnsi="宋体" w:eastAsia="宋体" w:cs="宋体"/>
                <w:b/>
                <w:color w:val="000000"/>
                <w:sz w:val="24"/>
              </w:rPr>
            </w:pPr>
            <w:r>
              <w:rPr>
                <w:rFonts w:hint="eastAsia" w:ascii="宋体" w:hAnsi="宋体" w:eastAsia="宋体" w:cs="宋体"/>
                <w:b/>
                <w:color w:val="000000"/>
                <w:sz w:val="24"/>
              </w:rPr>
              <w:t>评分条款</w:t>
            </w:r>
          </w:p>
        </w:tc>
        <w:tc>
          <w:tcPr>
            <w:tcW w:w="1763" w:type="dxa"/>
            <w:tcBorders>
              <w:top w:val="single" w:color="auto" w:sz="4" w:space="0"/>
              <w:left w:val="single" w:color="auto" w:sz="4" w:space="0"/>
              <w:bottom w:val="single" w:color="auto" w:sz="4" w:space="0"/>
              <w:right w:val="single" w:color="auto" w:sz="4" w:space="0"/>
            </w:tcBorders>
            <w:vAlign w:val="center"/>
          </w:tcPr>
          <w:p w14:paraId="5D7C70FA">
            <w:pPr>
              <w:spacing w:line="560" w:lineRule="exact"/>
              <w:jc w:val="center"/>
              <w:rPr>
                <w:rFonts w:ascii="宋体" w:hAnsi="宋体" w:eastAsia="宋体" w:cs="宋体"/>
                <w:b/>
                <w:color w:val="000000"/>
                <w:sz w:val="24"/>
              </w:rPr>
            </w:pPr>
            <w:r>
              <w:rPr>
                <w:rFonts w:hint="eastAsia" w:ascii="宋体" w:hAnsi="宋体" w:eastAsia="宋体" w:cs="宋体"/>
                <w:b/>
                <w:color w:val="000000"/>
                <w:sz w:val="24"/>
              </w:rPr>
              <w:t>评分因素</w:t>
            </w:r>
          </w:p>
        </w:tc>
        <w:tc>
          <w:tcPr>
            <w:tcW w:w="5783" w:type="dxa"/>
            <w:tcBorders>
              <w:top w:val="single" w:color="auto" w:sz="4" w:space="0"/>
              <w:left w:val="single" w:color="auto" w:sz="4" w:space="0"/>
              <w:bottom w:val="single" w:color="auto" w:sz="4" w:space="0"/>
              <w:right w:val="single" w:color="auto" w:sz="4" w:space="0"/>
            </w:tcBorders>
            <w:vAlign w:val="center"/>
          </w:tcPr>
          <w:p w14:paraId="2543FEB7">
            <w:pPr>
              <w:spacing w:line="560" w:lineRule="exact"/>
              <w:jc w:val="center"/>
              <w:rPr>
                <w:rFonts w:ascii="宋体" w:hAnsi="宋体" w:eastAsia="宋体" w:cs="宋体"/>
                <w:b/>
                <w:color w:val="000000"/>
                <w:sz w:val="24"/>
              </w:rPr>
            </w:pPr>
            <w:r>
              <w:rPr>
                <w:rFonts w:hint="eastAsia" w:ascii="宋体" w:hAnsi="宋体" w:eastAsia="宋体" w:cs="宋体"/>
                <w:b/>
                <w:color w:val="000000"/>
                <w:sz w:val="24"/>
              </w:rPr>
              <w:t>评分标准</w:t>
            </w:r>
          </w:p>
        </w:tc>
      </w:tr>
      <w:tr w14:paraId="0D76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8" w:type="dxa"/>
            <w:gridSpan w:val="3"/>
            <w:tcBorders>
              <w:top w:val="single" w:color="auto" w:sz="4" w:space="0"/>
              <w:left w:val="single" w:color="auto" w:sz="4" w:space="0"/>
              <w:bottom w:val="single" w:color="auto" w:sz="4" w:space="0"/>
              <w:right w:val="single" w:color="auto" w:sz="4" w:space="0"/>
            </w:tcBorders>
            <w:vAlign w:val="center"/>
          </w:tcPr>
          <w:p w14:paraId="74577EDA">
            <w:pPr>
              <w:spacing w:line="560" w:lineRule="exact"/>
              <w:rPr>
                <w:rFonts w:ascii="宋体" w:hAnsi="宋体" w:eastAsia="宋体" w:cs="宋体"/>
                <w:b/>
                <w:color w:val="000000"/>
                <w:sz w:val="24"/>
              </w:rPr>
            </w:pPr>
            <w:r>
              <w:rPr>
                <w:rFonts w:hint="eastAsia" w:ascii="宋体" w:hAnsi="宋体" w:eastAsia="宋体" w:cs="宋体"/>
                <w:b/>
                <w:color w:val="000000"/>
                <w:sz w:val="24"/>
              </w:rPr>
              <w:t>商务项（20分）</w:t>
            </w:r>
          </w:p>
        </w:tc>
      </w:tr>
      <w:tr w14:paraId="245A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2" w:type="dxa"/>
            <w:tcBorders>
              <w:top w:val="single" w:color="auto" w:sz="4" w:space="0"/>
              <w:left w:val="single" w:color="auto" w:sz="4" w:space="0"/>
              <w:right w:val="single" w:color="auto" w:sz="4" w:space="0"/>
            </w:tcBorders>
            <w:vAlign w:val="center"/>
          </w:tcPr>
          <w:p w14:paraId="17CF5057">
            <w:pPr>
              <w:jc w:val="center"/>
              <w:rPr>
                <w:rFonts w:ascii="仿宋" w:hAnsi="仿宋" w:eastAsia="仿宋" w:cs="仿宋"/>
                <w:color w:val="000000"/>
                <w:sz w:val="24"/>
              </w:rPr>
            </w:pPr>
            <w:r>
              <w:rPr>
                <w:rFonts w:hint="eastAsia" w:ascii="仿宋" w:hAnsi="仿宋" w:eastAsia="仿宋" w:cs="仿宋"/>
                <w:color w:val="000000"/>
                <w:sz w:val="24"/>
              </w:rPr>
              <w:t>企业资格条件</w:t>
            </w:r>
          </w:p>
          <w:p w14:paraId="18D38A52">
            <w:pPr>
              <w:jc w:val="center"/>
              <w:rPr>
                <w:rFonts w:ascii="仿宋" w:hAnsi="仿宋" w:eastAsia="仿宋" w:cs="仿宋"/>
                <w:color w:val="000000"/>
                <w:sz w:val="24"/>
              </w:rPr>
            </w:pPr>
          </w:p>
        </w:tc>
        <w:tc>
          <w:tcPr>
            <w:tcW w:w="1763" w:type="dxa"/>
            <w:tcBorders>
              <w:top w:val="single" w:color="auto" w:sz="4" w:space="0"/>
              <w:left w:val="single" w:color="auto" w:sz="4" w:space="0"/>
              <w:bottom w:val="single" w:color="auto" w:sz="4" w:space="0"/>
              <w:right w:val="single" w:color="auto" w:sz="4" w:space="0"/>
            </w:tcBorders>
            <w:vAlign w:val="center"/>
          </w:tcPr>
          <w:p w14:paraId="384B8573">
            <w:pPr>
              <w:jc w:val="center"/>
              <w:rPr>
                <w:rFonts w:ascii="仿宋" w:hAnsi="仿宋" w:eastAsia="仿宋" w:cs="仿宋"/>
                <w:color w:val="000000"/>
                <w:sz w:val="24"/>
              </w:rPr>
            </w:pPr>
            <w:r>
              <w:rPr>
                <w:rFonts w:hint="eastAsia" w:ascii="仿宋" w:hAnsi="仿宋" w:eastAsia="仿宋" w:cs="仿宋"/>
                <w:color w:val="000000"/>
                <w:sz w:val="24"/>
              </w:rPr>
              <w:t>营业执照、资质证书（5分）</w:t>
            </w:r>
          </w:p>
        </w:tc>
        <w:tc>
          <w:tcPr>
            <w:tcW w:w="5783" w:type="dxa"/>
            <w:tcBorders>
              <w:top w:val="single" w:color="auto" w:sz="4" w:space="0"/>
              <w:left w:val="single" w:color="auto" w:sz="4" w:space="0"/>
              <w:right w:val="single" w:color="auto" w:sz="4" w:space="0"/>
            </w:tcBorders>
            <w:vAlign w:val="center"/>
          </w:tcPr>
          <w:p w14:paraId="380BA2D8">
            <w:pPr>
              <w:rPr>
                <w:rFonts w:ascii="仿宋" w:hAnsi="仿宋" w:eastAsia="仿宋" w:cs="仿宋"/>
                <w:color w:val="000000"/>
                <w:sz w:val="24"/>
                <w:highlight w:val="white"/>
              </w:rPr>
            </w:pPr>
            <w:r>
              <w:rPr>
                <w:rFonts w:hint="eastAsia" w:ascii="仿宋" w:hAnsi="仿宋" w:eastAsia="仿宋" w:cs="仿宋"/>
                <w:color w:val="000000"/>
                <w:sz w:val="24"/>
              </w:rPr>
              <w:t>（1）</w:t>
            </w:r>
            <w:r>
              <w:rPr>
                <w:rFonts w:hint="eastAsia" w:ascii="仿宋" w:hAnsi="仿宋" w:eastAsia="仿宋" w:cs="仿宋"/>
                <w:color w:val="000000"/>
                <w:sz w:val="24"/>
                <w:highlight w:val="white"/>
              </w:rPr>
              <w:t>响应人</w:t>
            </w:r>
            <w:r>
              <w:rPr>
                <w:rFonts w:hint="eastAsia" w:ascii="仿宋" w:hAnsi="仿宋" w:eastAsia="仿宋" w:cs="仿宋"/>
                <w:color w:val="000000"/>
                <w:sz w:val="24"/>
              </w:rPr>
              <w:t>具备城乡规划编制甲级资质，得</w:t>
            </w:r>
            <w:r>
              <w:rPr>
                <w:rFonts w:hint="eastAsia" w:ascii="仿宋" w:hAnsi="仿宋" w:eastAsia="仿宋" w:cs="仿宋"/>
                <w:color w:val="000000"/>
                <w:sz w:val="24"/>
                <w:lang w:val="en-US" w:eastAsia="zh-CN"/>
              </w:rPr>
              <w:t>3</w:t>
            </w:r>
            <w:r>
              <w:rPr>
                <w:rFonts w:hint="eastAsia" w:ascii="仿宋" w:hAnsi="仿宋" w:eastAsia="仿宋" w:cs="仿宋"/>
                <w:color w:val="000000"/>
                <w:sz w:val="24"/>
              </w:rPr>
              <w:t>分；具备城乡规划编制乙级资质，得</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r>
              <w:rPr>
                <w:rFonts w:hint="eastAsia" w:ascii="仿宋" w:hAnsi="仿宋" w:eastAsia="仿宋" w:cs="仿宋"/>
                <w:color w:val="000000"/>
                <w:sz w:val="24"/>
                <w:highlight w:val="white"/>
              </w:rPr>
              <w:t>；</w:t>
            </w:r>
          </w:p>
          <w:p w14:paraId="3C616B93">
            <w:pPr>
              <w:rPr>
                <w:rFonts w:ascii="仿宋" w:hAnsi="仿宋" w:eastAsia="仿宋" w:cs="仿宋"/>
                <w:color w:val="000000"/>
                <w:sz w:val="24"/>
                <w:highlight w:val="white"/>
              </w:rPr>
            </w:pPr>
            <w:r>
              <w:rPr>
                <w:rFonts w:hint="eastAsia" w:ascii="仿宋" w:hAnsi="仿宋" w:eastAsia="仿宋" w:cs="仿宋"/>
                <w:color w:val="000000"/>
                <w:sz w:val="24"/>
              </w:rPr>
              <w:t>（2）</w:t>
            </w:r>
            <w:r>
              <w:rPr>
                <w:rFonts w:hint="eastAsia" w:ascii="仿宋" w:hAnsi="仿宋" w:eastAsia="仿宋" w:cs="仿宋"/>
                <w:color w:val="000000"/>
                <w:sz w:val="24"/>
                <w:highlight w:val="white"/>
              </w:rPr>
              <w:t>响应人须具备独立法人资格，具备有效的营业执照，得2分；</w:t>
            </w:r>
          </w:p>
          <w:p w14:paraId="306F9F66">
            <w:pPr>
              <w:rPr>
                <w:rFonts w:ascii="仿宋" w:hAnsi="仿宋" w:eastAsia="仿宋" w:cs="仿宋"/>
                <w:color w:val="000000"/>
                <w:sz w:val="24"/>
                <w:highlight w:val="white"/>
              </w:rPr>
            </w:pPr>
            <w:r>
              <w:rPr>
                <w:rFonts w:hint="eastAsia" w:ascii="仿宋" w:hAnsi="仿宋" w:eastAsia="仿宋" w:cs="仿宋"/>
                <w:color w:val="000000"/>
                <w:sz w:val="24"/>
              </w:rPr>
              <w:t>（3）</w:t>
            </w:r>
            <w:r>
              <w:rPr>
                <w:rFonts w:hint="eastAsia" w:ascii="仿宋" w:hAnsi="仿宋" w:eastAsia="仿宋" w:cs="仿宋"/>
                <w:color w:val="000000"/>
                <w:sz w:val="24"/>
                <w:highlight w:val="white"/>
              </w:rPr>
              <w:t>未提供不得分。</w:t>
            </w:r>
          </w:p>
        </w:tc>
      </w:tr>
      <w:tr w14:paraId="2B55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2212" w:type="dxa"/>
            <w:tcBorders>
              <w:top w:val="single" w:color="auto" w:sz="4" w:space="0"/>
              <w:left w:val="single" w:color="auto" w:sz="4" w:space="0"/>
              <w:right w:val="single" w:color="auto" w:sz="4" w:space="0"/>
            </w:tcBorders>
            <w:vAlign w:val="center"/>
          </w:tcPr>
          <w:p w14:paraId="47623766">
            <w:pPr>
              <w:spacing w:line="560" w:lineRule="exact"/>
              <w:jc w:val="center"/>
              <w:rPr>
                <w:rFonts w:ascii="仿宋" w:hAnsi="仿宋" w:eastAsia="仿宋" w:cs="仿宋"/>
                <w:color w:val="000000"/>
                <w:sz w:val="24"/>
              </w:rPr>
            </w:pPr>
            <w:r>
              <w:rPr>
                <w:rFonts w:hint="eastAsia" w:ascii="仿宋" w:hAnsi="仿宋" w:eastAsia="仿宋" w:cs="仿宋"/>
                <w:color w:val="000000"/>
                <w:sz w:val="24"/>
                <w:highlight w:val="white"/>
              </w:rPr>
              <w:t>团队实力</w:t>
            </w:r>
          </w:p>
        </w:tc>
        <w:tc>
          <w:tcPr>
            <w:tcW w:w="1763" w:type="dxa"/>
            <w:tcBorders>
              <w:top w:val="single" w:color="auto" w:sz="4" w:space="0"/>
              <w:left w:val="single" w:color="auto" w:sz="4" w:space="0"/>
              <w:right w:val="single" w:color="auto" w:sz="4" w:space="0"/>
            </w:tcBorders>
            <w:vAlign w:val="center"/>
          </w:tcPr>
          <w:p w14:paraId="3F5D0DB4">
            <w:pPr>
              <w:spacing w:line="560" w:lineRule="exact"/>
              <w:jc w:val="center"/>
              <w:rPr>
                <w:rFonts w:ascii="仿宋" w:hAnsi="仿宋" w:eastAsia="仿宋" w:cs="仿宋"/>
                <w:color w:val="000000"/>
                <w:sz w:val="24"/>
              </w:rPr>
            </w:pPr>
            <w:r>
              <w:rPr>
                <w:rFonts w:hint="eastAsia" w:ascii="仿宋" w:hAnsi="仿宋" w:eastAsia="仿宋" w:cs="仿宋"/>
                <w:color w:val="000000"/>
                <w:sz w:val="24"/>
              </w:rPr>
              <w:t>项目负责人、团队人员情况（10分）</w:t>
            </w:r>
          </w:p>
        </w:tc>
        <w:tc>
          <w:tcPr>
            <w:tcW w:w="5783" w:type="dxa"/>
            <w:tcBorders>
              <w:top w:val="single" w:color="auto" w:sz="4" w:space="0"/>
              <w:left w:val="single" w:color="auto" w:sz="4" w:space="0"/>
              <w:right w:val="single" w:color="auto" w:sz="4" w:space="0"/>
            </w:tcBorders>
            <w:vAlign w:val="center"/>
          </w:tcPr>
          <w:p w14:paraId="09FE8B68">
            <w:pPr>
              <w:widowControl/>
              <w:rPr>
                <w:rFonts w:ascii="仿宋" w:hAnsi="仿宋" w:eastAsia="仿宋" w:cs="仿宋"/>
                <w:color w:val="000000"/>
                <w:sz w:val="24"/>
                <w:highlight w:val="white"/>
              </w:rPr>
            </w:pPr>
            <w:r>
              <w:rPr>
                <w:rFonts w:ascii="仿宋" w:hAnsi="仿宋" w:eastAsia="仿宋" w:cs="仿宋"/>
                <w:color w:val="000000"/>
                <w:sz w:val="24"/>
                <w:highlight w:val="white"/>
              </w:rPr>
              <w:t>（1）项目负责人持有为国家注册城乡规划师证书，得5分，（须提供相关证书及社保证明材料复印件加盖公章，未提供的不得分）；</w:t>
            </w:r>
          </w:p>
          <w:p w14:paraId="797C92C1">
            <w:pPr>
              <w:widowControl/>
              <w:rPr>
                <w:rFonts w:ascii="仿宋" w:hAnsi="仿宋" w:eastAsia="仿宋" w:cs="仿宋"/>
                <w:color w:val="000000"/>
                <w:sz w:val="24"/>
                <w:highlight w:val="white"/>
              </w:rPr>
            </w:pPr>
            <w:r>
              <w:rPr>
                <w:rFonts w:ascii="仿宋" w:hAnsi="仿宋" w:eastAsia="仿宋" w:cs="仿宋"/>
                <w:color w:val="000000"/>
                <w:sz w:val="24"/>
                <w:highlight w:val="white"/>
              </w:rPr>
              <w:t>（2）拟投入团队人员具备国土空间规划或城乡规划设计工程师中级及以上职称人员，每提供一个得1分，满分3分（须提供相关职称证书复印件加盖公章，未提供的不得分）。</w:t>
            </w:r>
          </w:p>
          <w:p w14:paraId="1D1A26BF">
            <w:pPr>
              <w:widowControl/>
              <w:rPr>
                <w:rFonts w:ascii="仿宋" w:hAnsi="仿宋" w:eastAsia="仿宋" w:cs="仿宋"/>
                <w:color w:val="000000"/>
                <w:sz w:val="24"/>
                <w:highlight w:val="white"/>
              </w:rPr>
            </w:pPr>
            <w:r>
              <w:rPr>
                <w:rFonts w:ascii="仿宋" w:hAnsi="仿宋" w:eastAsia="仿宋" w:cs="仿宋"/>
                <w:color w:val="000000"/>
                <w:sz w:val="24"/>
                <w:highlight w:val="white"/>
              </w:rPr>
              <w:t>（3）拟投入本项目团队人员具有规划或生态学或旅游管理等专业，每提供一个人员得1分，满分2分。（须提供毕业证书或学位证书复印件，未提供不得分）。</w:t>
            </w:r>
          </w:p>
          <w:p w14:paraId="3354323B">
            <w:pPr>
              <w:widowControl/>
              <w:rPr>
                <w:rFonts w:ascii="仿宋" w:hAnsi="仿宋" w:eastAsia="仿宋" w:cs="仿宋"/>
                <w:color w:val="000000"/>
                <w:sz w:val="24"/>
                <w:highlight w:val="white"/>
              </w:rPr>
            </w:pPr>
            <w:r>
              <w:rPr>
                <w:rFonts w:ascii="仿宋" w:hAnsi="仿宋" w:eastAsia="仿宋" w:cs="仿宋"/>
                <w:color w:val="000000"/>
                <w:sz w:val="24"/>
                <w:highlight w:val="white"/>
              </w:rPr>
              <w:t>备注：（2）和（3）提供的人员可以重复</w:t>
            </w:r>
          </w:p>
        </w:tc>
      </w:tr>
      <w:tr w14:paraId="3B26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2" w:type="dxa"/>
            <w:tcBorders>
              <w:top w:val="single" w:color="auto" w:sz="4" w:space="0"/>
              <w:left w:val="single" w:color="auto" w:sz="4" w:space="0"/>
              <w:right w:val="single" w:color="auto" w:sz="4" w:space="0"/>
            </w:tcBorders>
            <w:vAlign w:val="center"/>
          </w:tcPr>
          <w:p w14:paraId="56BEA0C5">
            <w:pPr>
              <w:spacing w:line="560" w:lineRule="exact"/>
              <w:jc w:val="center"/>
              <w:rPr>
                <w:rFonts w:ascii="仿宋" w:hAnsi="仿宋" w:eastAsia="仿宋" w:cs="仿宋"/>
                <w:color w:val="000000"/>
                <w:sz w:val="24"/>
              </w:rPr>
            </w:pPr>
            <w:r>
              <w:rPr>
                <w:rFonts w:hint="eastAsia" w:ascii="仿宋" w:hAnsi="仿宋" w:eastAsia="仿宋" w:cs="仿宋"/>
                <w:color w:val="000000"/>
                <w:sz w:val="24"/>
              </w:rPr>
              <w:t>企业实力</w:t>
            </w:r>
          </w:p>
        </w:tc>
        <w:tc>
          <w:tcPr>
            <w:tcW w:w="1763" w:type="dxa"/>
            <w:tcBorders>
              <w:top w:val="single" w:color="auto" w:sz="4" w:space="0"/>
              <w:left w:val="single" w:color="auto" w:sz="4" w:space="0"/>
              <w:right w:val="single" w:color="auto" w:sz="4" w:space="0"/>
            </w:tcBorders>
            <w:vAlign w:val="center"/>
          </w:tcPr>
          <w:p w14:paraId="77E88392">
            <w:pPr>
              <w:spacing w:line="560" w:lineRule="exact"/>
              <w:jc w:val="center"/>
              <w:rPr>
                <w:rFonts w:ascii="仿宋" w:hAnsi="仿宋" w:eastAsia="仿宋" w:cs="仿宋"/>
                <w:color w:val="000000"/>
                <w:sz w:val="24"/>
              </w:rPr>
            </w:pPr>
            <w:r>
              <w:rPr>
                <w:rFonts w:hint="eastAsia" w:ascii="仿宋" w:hAnsi="仿宋" w:eastAsia="仿宋" w:cs="仿宋"/>
                <w:color w:val="000000"/>
                <w:sz w:val="24"/>
              </w:rPr>
              <w:t>企业业绩情况（5分）</w:t>
            </w:r>
          </w:p>
        </w:tc>
        <w:tc>
          <w:tcPr>
            <w:tcW w:w="5783" w:type="dxa"/>
            <w:tcBorders>
              <w:top w:val="single" w:color="auto" w:sz="4" w:space="0"/>
              <w:left w:val="single" w:color="auto" w:sz="4" w:space="0"/>
              <w:right w:val="single" w:color="auto" w:sz="4" w:space="0"/>
            </w:tcBorders>
            <w:vAlign w:val="center"/>
          </w:tcPr>
          <w:p w14:paraId="52684E74">
            <w:pPr>
              <w:widowControl/>
              <w:rPr>
                <w:rFonts w:ascii="仿宋" w:hAnsi="仿宋" w:eastAsia="仿宋" w:cs="仿宋"/>
                <w:color w:val="000000"/>
                <w:sz w:val="24"/>
              </w:rPr>
            </w:pPr>
            <w:r>
              <w:rPr>
                <w:rFonts w:hint="eastAsia" w:ascii="仿宋" w:hAnsi="仿宋" w:eastAsia="仿宋" w:cs="仿宋"/>
                <w:color w:val="000000"/>
                <w:sz w:val="24"/>
              </w:rPr>
              <w:t>（1）近五年承担过规划项目业绩，每提供1项得1分，满分</w:t>
            </w:r>
            <w:r>
              <w:rPr>
                <w:rFonts w:ascii="仿宋" w:hAnsi="仿宋" w:eastAsia="仿宋" w:cs="仿宋"/>
                <w:color w:val="000000"/>
                <w:sz w:val="24"/>
              </w:rPr>
              <w:t>5</w:t>
            </w:r>
            <w:r>
              <w:rPr>
                <w:rFonts w:hint="eastAsia" w:ascii="仿宋" w:hAnsi="仿宋" w:eastAsia="仿宋" w:cs="仿宋"/>
                <w:color w:val="000000"/>
                <w:sz w:val="24"/>
              </w:rPr>
              <w:t>分（需提供合同复印件）。</w:t>
            </w:r>
          </w:p>
          <w:p w14:paraId="0AF997DA">
            <w:pPr>
              <w:widowControl/>
              <w:rPr>
                <w:rFonts w:ascii="仿宋" w:hAnsi="仿宋" w:eastAsia="仿宋" w:cs="仿宋"/>
                <w:color w:val="000000"/>
                <w:sz w:val="24"/>
              </w:rPr>
            </w:pPr>
            <w:r>
              <w:rPr>
                <w:rFonts w:hint="eastAsia" w:ascii="仿宋" w:hAnsi="仿宋" w:eastAsia="仿宋" w:cs="仿宋"/>
                <w:color w:val="000000"/>
                <w:sz w:val="24"/>
              </w:rPr>
              <w:t>（2）未提供不得分。</w:t>
            </w:r>
          </w:p>
        </w:tc>
      </w:tr>
      <w:tr w14:paraId="62E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8" w:type="dxa"/>
            <w:gridSpan w:val="3"/>
            <w:tcBorders>
              <w:top w:val="single" w:color="auto" w:sz="4" w:space="0"/>
              <w:left w:val="single" w:color="auto" w:sz="4" w:space="0"/>
              <w:right w:val="single" w:color="auto" w:sz="4" w:space="0"/>
            </w:tcBorders>
            <w:vAlign w:val="center"/>
          </w:tcPr>
          <w:p w14:paraId="672542BB">
            <w:pPr>
              <w:spacing w:line="560" w:lineRule="exact"/>
              <w:rPr>
                <w:rFonts w:ascii="仿宋" w:hAnsi="仿宋" w:eastAsia="仿宋" w:cs="仿宋"/>
                <w:color w:val="000000"/>
                <w:sz w:val="28"/>
                <w:szCs w:val="28"/>
              </w:rPr>
            </w:pPr>
            <w:r>
              <w:rPr>
                <w:rFonts w:hint="eastAsia" w:ascii="宋体" w:hAnsi="宋体" w:eastAsia="宋体" w:cs="宋体"/>
                <w:b/>
                <w:color w:val="000000"/>
                <w:sz w:val="24"/>
              </w:rPr>
              <w:t>技术项（70分）</w:t>
            </w:r>
          </w:p>
        </w:tc>
      </w:tr>
      <w:tr w14:paraId="138E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212" w:type="dxa"/>
            <w:vMerge w:val="restart"/>
            <w:tcBorders>
              <w:top w:val="single" w:color="auto" w:sz="4" w:space="0"/>
              <w:left w:val="single" w:color="auto" w:sz="4" w:space="0"/>
              <w:right w:val="single" w:color="auto" w:sz="4" w:space="0"/>
            </w:tcBorders>
            <w:vAlign w:val="center"/>
          </w:tcPr>
          <w:p w14:paraId="10A17763">
            <w:pPr>
              <w:spacing w:line="560" w:lineRule="exact"/>
              <w:jc w:val="center"/>
              <w:rPr>
                <w:rFonts w:ascii="仿宋" w:hAnsi="仿宋" w:eastAsia="仿宋" w:cs="仿宋"/>
                <w:color w:val="000000"/>
                <w:sz w:val="24"/>
              </w:rPr>
            </w:pPr>
          </w:p>
        </w:tc>
        <w:tc>
          <w:tcPr>
            <w:tcW w:w="1763" w:type="dxa"/>
            <w:tcBorders>
              <w:top w:val="single" w:color="auto" w:sz="4" w:space="0"/>
              <w:left w:val="single" w:color="auto" w:sz="4" w:space="0"/>
              <w:right w:val="single" w:color="auto" w:sz="4" w:space="0"/>
            </w:tcBorders>
            <w:vAlign w:val="center"/>
          </w:tcPr>
          <w:p w14:paraId="0F1A1012">
            <w:pPr>
              <w:spacing w:line="560" w:lineRule="exact"/>
              <w:jc w:val="center"/>
              <w:rPr>
                <w:rFonts w:ascii="仿宋" w:hAnsi="仿宋" w:eastAsia="仿宋" w:cs="仿宋"/>
                <w:color w:val="000000"/>
                <w:sz w:val="24"/>
              </w:rPr>
            </w:pPr>
            <w:r>
              <w:rPr>
                <w:rFonts w:hint="eastAsia" w:ascii="仿宋" w:hAnsi="仿宋" w:eastAsia="仿宋" w:cs="仿宋"/>
                <w:color w:val="000000"/>
                <w:sz w:val="24"/>
              </w:rPr>
              <w:t>项目背景分析（</w:t>
            </w:r>
            <w:r>
              <w:rPr>
                <w:rFonts w:ascii="仿宋" w:hAnsi="仿宋" w:eastAsia="仿宋" w:cs="仿宋"/>
                <w:color w:val="000000"/>
                <w:sz w:val="24"/>
              </w:rPr>
              <w:t>10</w:t>
            </w:r>
            <w:r>
              <w:rPr>
                <w:rFonts w:hint="eastAsia" w:ascii="仿宋" w:hAnsi="仿宋" w:eastAsia="仿宋" w:cs="仿宋"/>
                <w:color w:val="000000"/>
                <w:sz w:val="24"/>
              </w:rPr>
              <w:t>分）</w:t>
            </w:r>
          </w:p>
        </w:tc>
        <w:tc>
          <w:tcPr>
            <w:tcW w:w="5783" w:type="dxa"/>
            <w:tcBorders>
              <w:top w:val="single" w:color="auto" w:sz="4" w:space="0"/>
              <w:left w:val="single" w:color="auto" w:sz="4" w:space="0"/>
              <w:right w:val="single" w:color="auto" w:sz="4" w:space="0"/>
            </w:tcBorders>
            <w:vAlign w:val="center"/>
          </w:tcPr>
          <w:p w14:paraId="0BD2BE64">
            <w:pPr>
              <w:widowControl/>
              <w:jc w:val="left"/>
              <w:rPr>
                <w:rFonts w:ascii="仿宋" w:hAnsi="仿宋" w:eastAsia="仿宋" w:cs="仿宋"/>
                <w:color w:val="000000"/>
                <w:sz w:val="24"/>
              </w:rPr>
            </w:pPr>
            <w:r>
              <w:rPr>
                <w:rFonts w:hint="eastAsia" w:ascii="仿宋" w:hAnsi="仿宋" w:eastAsia="仿宋" w:cs="仿宋"/>
                <w:color w:val="000000"/>
                <w:sz w:val="24"/>
              </w:rPr>
              <w:t>根据各供应商对本项目规划背景、区位总体特征、上位规划及相关规划的理解是否深入清晰，由评审小组进行综合评分：</w:t>
            </w:r>
          </w:p>
          <w:p w14:paraId="4B96DE7C">
            <w:pPr>
              <w:widowControl/>
              <w:numPr>
                <w:ilvl w:val="255"/>
                <w:numId w:val="0"/>
              </w:numPr>
              <w:jc w:val="left"/>
              <w:rPr>
                <w:rFonts w:ascii="仿宋" w:hAnsi="仿宋" w:eastAsia="仿宋" w:cs="仿宋"/>
                <w:color w:val="000000"/>
                <w:sz w:val="24"/>
              </w:rPr>
            </w:pPr>
            <w:r>
              <w:rPr>
                <w:rFonts w:hint="eastAsia" w:ascii="仿宋" w:hAnsi="仿宋" w:eastAsia="仿宋" w:cs="仿宋"/>
                <w:color w:val="000000"/>
                <w:sz w:val="24"/>
              </w:rPr>
              <w:t>（1）对本项目需求理解准确、全面、深入的得</w:t>
            </w:r>
            <w:r>
              <w:rPr>
                <w:rFonts w:ascii="仿宋" w:hAnsi="仿宋" w:eastAsia="仿宋" w:cs="仿宋"/>
                <w:color w:val="000000"/>
                <w:sz w:val="24"/>
              </w:rPr>
              <w:t>10</w:t>
            </w:r>
            <w:r>
              <w:rPr>
                <w:rFonts w:hint="eastAsia" w:ascii="仿宋" w:hAnsi="仿宋" w:eastAsia="仿宋" w:cs="仿宋"/>
                <w:color w:val="000000"/>
                <w:sz w:val="24"/>
              </w:rPr>
              <w:t>分；（2）对本项目需求理解比较准确、全面、深入的得</w:t>
            </w:r>
            <w:r>
              <w:rPr>
                <w:rFonts w:ascii="仿宋" w:hAnsi="仿宋" w:eastAsia="仿宋" w:cs="仿宋"/>
                <w:color w:val="000000"/>
                <w:sz w:val="24"/>
              </w:rPr>
              <w:t>5</w:t>
            </w:r>
            <w:r>
              <w:rPr>
                <w:rFonts w:hint="eastAsia" w:ascii="仿宋" w:hAnsi="仿宋" w:eastAsia="仿宋" w:cs="仿宋"/>
                <w:color w:val="000000"/>
                <w:sz w:val="24"/>
              </w:rPr>
              <w:t>分；</w:t>
            </w:r>
          </w:p>
          <w:p w14:paraId="11AAEEB4">
            <w:pPr>
              <w:widowControl/>
              <w:jc w:val="left"/>
              <w:rPr>
                <w:rFonts w:ascii="仿宋" w:hAnsi="仿宋" w:eastAsia="仿宋" w:cs="仿宋"/>
                <w:color w:val="000000"/>
                <w:sz w:val="24"/>
              </w:rPr>
            </w:pPr>
            <w:r>
              <w:rPr>
                <w:rFonts w:hint="eastAsia" w:ascii="仿宋" w:hAnsi="仿宋" w:eastAsia="仿宋" w:cs="仿宋"/>
                <w:color w:val="000000"/>
                <w:sz w:val="24"/>
              </w:rPr>
              <w:t>（3）对本项目需求 理解一般的得</w:t>
            </w:r>
            <w:r>
              <w:rPr>
                <w:rFonts w:ascii="仿宋" w:hAnsi="仿宋" w:eastAsia="仿宋" w:cs="仿宋"/>
                <w:color w:val="000000"/>
                <w:sz w:val="24"/>
              </w:rPr>
              <w:t>3</w:t>
            </w:r>
            <w:r>
              <w:rPr>
                <w:rFonts w:hint="eastAsia" w:ascii="仿宋" w:hAnsi="仿宋" w:eastAsia="仿宋" w:cs="仿宋"/>
                <w:color w:val="000000"/>
                <w:sz w:val="24"/>
              </w:rPr>
              <w:t>分，未做阐述不得分。</w:t>
            </w:r>
          </w:p>
        </w:tc>
      </w:tr>
      <w:tr w14:paraId="120C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12" w:type="dxa"/>
            <w:vMerge w:val="continue"/>
            <w:tcBorders>
              <w:left w:val="single" w:color="auto" w:sz="4" w:space="0"/>
              <w:right w:val="single" w:color="auto" w:sz="4" w:space="0"/>
            </w:tcBorders>
            <w:vAlign w:val="center"/>
          </w:tcPr>
          <w:p w14:paraId="798735F9">
            <w:pPr>
              <w:spacing w:line="560" w:lineRule="exact"/>
              <w:jc w:val="center"/>
              <w:rPr>
                <w:rFonts w:ascii="仿宋" w:hAnsi="仿宋" w:eastAsia="仿宋" w:cs="仿宋"/>
                <w:color w:val="000000"/>
                <w:sz w:val="24"/>
              </w:rPr>
            </w:pPr>
          </w:p>
        </w:tc>
        <w:tc>
          <w:tcPr>
            <w:tcW w:w="1763" w:type="dxa"/>
            <w:tcBorders>
              <w:top w:val="single" w:color="auto" w:sz="4" w:space="0"/>
              <w:left w:val="single" w:color="auto" w:sz="4" w:space="0"/>
              <w:right w:val="single" w:color="auto" w:sz="4" w:space="0"/>
            </w:tcBorders>
            <w:vAlign w:val="center"/>
          </w:tcPr>
          <w:p w14:paraId="6825B3F8">
            <w:pPr>
              <w:widowControl/>
              <w:numPr>
                <w:ilvl w:val="255"/>
                <w:numId w:val="0"/>
              </w:num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综合现状分析（15分）</w:t>
            </w:r>
          </w:p>
        </w:tc>
        <w:tc>
          <w:tcPr>
            <w:tcW w:w="5783" w:type="dxa"/>
            <w:tcBorders>
              <w:top w:val="single" w:color="auto" w:sz="4" w:space="0"/>
              <w:left w:val="single" w:color="auto" w:sz="4" w:space="0"/>
              <w:right w:val="single" w:color="auto" w:sz="4" w:space="0"/>
            </w:tcBorders>
            <w:vAlign w:val="center"/>
          </w:tcPr>
          <w:p w14:paraId="21A51000">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根据各供应商针对项目现状情况进行梳理分析，包括资源特点、区域空间形态、产业基础、问题挖掘等多维层面的综合研究,由评审小组进行评分：</w:t>
            </w:r>
          </w:p>
          <w:p w14:paraId="4242DA8A">
            <w:pPr>
              <w:widowControl/>
              <w:numPr>
                <w:ilvl w:val="255"/>
                <w:numId w:val="0"/>
              </w:num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（1）内容了解充分、分析到位、条理清晰的得15分；</w:t>
            </w:r>
          </w:p>
          <w:p w14:paraId="2D66CD83">
            <w:pPr>
              <w:widowControl/>
              <w:numPr>
                <w:ilvl w:val="255"/>
                <w:numId w:val="0"/>
              </w:num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（2）内容了解较充分、分析较到位、条理较清晰的得10分；</w:t>
            </w:r>
          </w:p>
          <w:p w14:paraId="59469E95">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（3）内容基本了解、分析基本到位的得5分，未提供或提供内容不符合要求的不得分。</w:t>
            </w:r>
          </w:p>
        </w:tc>
      </w:tr>
      <w:tr w14:paraId="7C6B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212" w:type="dxa"/>
            <w:vMerge w:val="continue"/>
            <w:tcBorders>
              <w:left w:val="single" w:color="auto" w:sz="4" w:space="0"/>
              <w:right w:val="single" w:color="auto" w:sz="4" w:space="0"/>
            </w:tcBorders>
            <w:vAlign w:val="center"/>
          </w:tcPr>
          <w:p w14:paraId="70F97015">
            <w:pPr>
              <w:spacing w:line="560" w:lineRule="exact"/>
              <w:jc w:val="center"/>
              <w:rPr>
                <w:rFonts w:ascii="仿宋" w:hAnsi="仿宋" w:eastAsia="仿宋" w:cs="仿宋"/>
                <w:color w:val="000000"/>
                <w:sz w:val="24"/>
              </w:rPr>
            </w:pPr>
          </w:p>
        </w:tc>
        <w:tc>
          <w:tcPr>
            <w:tcW w:w="1763" w:type="dxa"/>
            <w:tcBorders>
              <w:top w:val="single" w:color="auto" w:sz="4" w:space="0"/>
              <w:left w:val="single" w:color="auto" w:sz="4" w:space="0"/>
              <w:right w:val="single" w:color="auto" w:sz="4" w:space="0"/>
            </w:tcBorders>
            <w:vAlign w:val="center"/>
          </w:tcPr>
          <w:p w14:paraId="6E3A0F90">
            <w:pPr>
              <w:widowControl/>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规划愿景分析（25分）</w:t>
            </w:r>
          </w:p>
          <w:p w14:paraId="1DABDA45">
            <w:pPr>
              <w:widowControl/>
              <w:spacing w:line="560" w:lineRule="exact"/>
              <w:jc w:val="center"/>
              <w:rPr>
                <w:rFonts w:ascii="仿宋" w:hAnsi="仿宋" w:eastAsia="仿宋" w:cs="仿宋"/>
                <w:color w:val="000000" w:themeColor="text1"/>
                <w:sz w:val="24"/>
                <w14:textFill>
                  <w14:solidFill>
                    <w14:schemeClr w14:val="tx1"/>
                  </w14:solidFill>
                </w14:textFill>
              </w:rPr>
            </w:pPr>
          </w:p>
        </w:tc>
        <w:tc>
          <w:tcPr>
            <w:tcW w:w="5783" w:type="dxa"/>
            <w:tcBorders>
              <w:top w:val="single" w:color="auto" w:sz="4" w:space="0"/>
              <w:left w:val="single" w:color="auto" w:sz="4" w:space="0"/>
              <w:right w:val="single" w:color="auto" w:sz="4" w:space="0"/>
            </w:tcBorders>
            <w:vAlign w:val="center"/>
          </w:tcPr>
          <w:p w14:paraId="4251D404">
            <w:pPr>
              <w:widowControl/>
              <w:numPr>
                <w:ilvl w:val="255"/>
                <w:numId w:val="0"/>
              </w:num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根据各供应商针对本项目的规划愿景与规划思路，由</w:t>
            </w:r>
            <w:r>
              <w:rPr>
                <w:rFonts w:hint="eastAsia" w:ascii="仿宋" w:hAnsi="仿宋" w:eastAsia="仿宋" w:cs="仿宋"/>
                <w:color w:val="000000" w:themeColor="text1"/>
                <w:sz w:val="24"/>
                <w:lang w:val="en-US" w:eastAsia="zh-CN"/>
                <w14:textFill>
                  <w14:solidFill>
                    <w14:schemeClr w14:val="tx1"/>
                  </w14:solidFill>
                </w14:textFill>
              </w:rPr>
              <w:t>评审</w:t>
            </w:r>
            <w:r>
              <w:rPr>
                <w:rFonts w:hint="eastAsia" w:ascii="仿宋" w:hAnsi="仿宋" w:eastAsia="仿宋" w:cs="仿宋"/>
                <w:color w:val="000000" w:themeColor="text1"/>
                <w:sz w:val="24"/>
                <w14:textFill>
                  <w14:solidFill>
                    <w14:schemeClr w14:val="tx1"/>
                  </w14:solidFill>
                </w14:textFill>
              </w:rPr>
              <w:t>小组进行综合评分。</w:t>
            </w:r>
          </w:p>
          <w:p w14:paraId="574BE40D">
            <w:pPr>
              <w:widowControl/>
              <w:numPr>
                <w:ilvl w:val="255"/>
                <w:numId w:val="0"/>
              </w:num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（1）对本项目规划愿景与思路理解准确、全面、深入的得25分；</w:t>
            </w:r>
          </w:p>
          <w:p w14:paraId="59086F7C">
            <w:pPr>
              <w:widowControl/>
              <w:numPr>
                <w:ilvl w:val="255"/>
                <w:numId w:val="0"/>
              </w:num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（2）对本项目规划愿景与思路理解比较准确、全面、深入的得15分；</w:t>
            </w:r>
          </w:p>
          <w:p w14:paraId="67322FB3">
            <w:pPr>
              <w:widowControl/>
              <w:numPr>
                <w:ilvl w:val="255"/>
                <w:numId w:val="0"/>
              </w:num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（3）对本项目规划愿景与思路理解分析一般的得10分，未做阐述不得分。</w:t>
            </w:r>
          </w:p>
        </w:tc>
      </w:tr>
      <w:tr w14:paraId="5172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2" w:type="dxa"/>
            <w:vMerge w:val="continue"/>
            <w:tcBorders>
              <w:left w:val="single" w:color="auto" w:sz="4" w:space="0"/>
              <w:right w:val="single" w:color="auto" w:sz="4" w:space="0"/>
            </w:tcBorders>
            <w:vAlign w:val="center"/>
          </w:tcPr>
          <w:p w14:paraId="76F5E655">
            <w:pPr>
              <w:jc w:val="left"/>
              <w:rPr>
                <w:rFonts w:ascii="仿宋" w:hAnsi="仿宋" w:eastAsia="仿宋" w:cs="仿宋"/>
                <w:color w:val="000000"/>
                <w:sz w:val="24"/>
              </w:rPr>
            </w:pPr>
          </w:p>
        </w:tc>
        <w:tc>
          <w:tcPr>
            <w:tcW w:w="1763" w:type="dxa"/>
            <w:tcBorders>
              <w:top w:val="single" w:color="auto" w:sz="4" w:space="0"/>
              <w:left w:val="single" w:color="auto" w:sz="4" w:space="0"/>
              <w:right w:val="single" w:color="auto" w:sz="4" w:space="0"/>
            </w:tcBorders>
            <w:vAlign w:val="center"/>
          </w:tcPr>
          <w:p w14:paraId="31FCBC00">
            <w:pPr>
              <w:jc w:val="center"/>
              <w:rPr>
                <w:rFonts w:ascii="仿宋" w:hAnsi="仿宋" w:eastAsia="仿宋" w:cs="仿宋"/>
                <w:color w:val="000000"/>
                <w:sz w:val="24"/>
              </w:rPr>
            </w:pPr>
          </w:p>
          <w:p w14:paraId="2E10A0CD">
            <w:pPr>
              <w:jc w:val="center"/>
              <w:rPr>
                <w:rFonts w:ascii="仿宋" w:hAnsi="仿宋" w:eastAsia="仿宋" w:cs="仿宋"/>
                <w:color w:val="000000"/>
                <w:sz w:val="24"/>
              </w:rPr>
            </w:pPr>
            <w:r>
              <w:rPr>
                <w:rFonts w:hint="eastAsia" w:ascii="仿宋" w:hAnsi="仿宋" w:eastAsia="仿宋" w:cs="仿宋"/>
                <w:color w:val="000000"/>
                <w:sz w:val="24"/>
              </w:rPr>
              <w:t>总体生态策略</w:t>
            </w:r>
          </w:p>
          <w:p w14:paraId="1DA1ED9D">
            <w:pPr>
              <w:jc w:val="center"/>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10</w:t>
            </w:r>
            <w:r>
              <w:rPr>
                <w:rFonts w:hint="eastAsia" w:ascii="仿宋" w:hAnsi="仿宋" w:eastAsia="仿宋" w:cs="仿宋"/>
                <w:color w:val="000000"/>
                <w:sz w:val="24"/>
              </w:rPr>
              <w:t>分）</w:t>
            </w:r>
          </w:p>
          <w:p w14:paraId="089FC0F9">
            <w:pPr>
              <w:jc w:val="center"/>
              <w:rPr>
                <w:rFonts w:ascii="仿宋" w:hAnsi="仿宋" w:eastAsia="仿宋" w:cs="仿宋"/>
                <w:color w:val="000000"/>
                <w:sz w:val="24"/>
              </w:rPr>
            </w:pPr>
          </w:p>
        </w:tc>
        <w:tc>
          <w:tcPr>
            <w:tcW w:w="5783" w:type="dxa"/>
            <w:tcBorders>
              <w:top w:val="single" w:color="auto" w:sz="4" w:space="0"/>
              <w:left w:val="single" w:color="auto" w:sz="4" w:space="0"/>
              <w:right w:val="single" w:color="auto" w:sz="4" w:space="0"/>
            </w:tcBorders>
            <w:vAlign w:val="center"/>
          </w:tcPr>
          <w:p w14:paraId="154C1448">
            <w:pPr>
              <w:widowControl/>
              <w:jc w:val="left"/>
              <w:rPr>
                <w:rFonts w:ascii="仿宋" w:hAnsi="仿宋" w:eastAsia="仿宋" w:cs="仿宋"/>
                <w:color w:val="000000"/>
                <w:sz w:val="24"/>
              </w:rPr>
            </w:pPr>
            <w:r>
              <w:rPr>
                <w:rFonts w:hint="eastAsia" w:ascii="仿宋" w:hAnsi="仿宋" w:eastAsia="仿宋" w:cs="仿宋"/>
                <w:color w:val="000000"/>
                <w:sz w:val="24"/>
              </w:rPr>
              <w:t>根据各供应商针对本项目的总体资源分析认识上，提出总体的生态策略建议。</w:t>
            </w:r>
          </w:p>
          <w:p w14:paraId="28B341FB">
            <w:pPr>
              <w:widowControl/>
              <w:numPr>
                <w:ilvl w:val="255"/>
                <w:numId w:val="0"/>
              </w:numPr>
              <w:jc w:val="left"/>
              <w:rPr>
                <w:rFonts w:ascii="仿宋" w:hAnsi="仿宋" w:eastAsia="仿宋" w:cs="仿宋"/>
                <w:color w:val="000000"/>
                <w:sz w:val="24"/>
              </w:rPr>
            </w:pPr>
            <w:r>
              <w:rPr>
                <w:rFonts w:hint="eastAsia" w:ascii="仿宋" w:hAnsi="仿宋" w:eastAsia="仿宋" w:cs="仿宋"/>
                <w:color w:val="000000"/>
                <w:sz w:val="24"/>
              </w:rPr>
              <w:t>（1）分析准确到位、针对性强及全面的得10分；</w:t>
            </w:r>
          </w:p>
          <w:p w14:paraId="7E0BE8E0">
            <w:pPr>
              <w:widowControl/>
              <w:numPr>
                <w:ilvl w:val="255"/>
                <w:numId w:val="0"/>
              </w:numPr>
              <w:jc w:val="left"/>
              <w:rPr>
                <w:rFonts w:ascii="仿宋" w:hAnsi="仿宋" w:eastAsia="仿宋" w:cs="仿宋"/>
                <w:color w:val="000000"/>
                <w:sz w:val="24"/>
              </w:rPr>
            </w:pPr>
            <w:r>
              <w:rPr>
                <w:rFonts w:hint="eastAsia" w:ascii="仿宋" w:hAnsi="仿宋" w:eastAsia="仿宋" w:cs="仿宋"/>
                <w:color w:val="000000"/>
                <w:sz w:val="24"/>
              </w:rPr>
              <w:t>（2）分析较到位、较全面的得5分；</w:t>
            </w:r>
          </w:p>
          <w:p w14:paraId="5D15F36D">
            <w:pPr>
              <w:widowControl/>
              <w:numPr>
                <w:ilvl w:val="255"/>
                <w:numId w:val="0"/>
              </w:numPr>
              <w:jc w:val="left"/>
              <w:rPr>
                <w:rFonts w:ascii="仿宋" w:hAnsi="仿宋" w:eastAsia="仿宋" w:cs="仿宋"/>
                <w:color w:val="000000"/>
                <w:sz w:val="24"/>
              </w:rPr>
            </w:pPr>
            <w:r>
              <w:rPr>
                <w:rFonts w:hint="eastAsia" w:ascii="仿宋" w:hAnsi="仿宋" w:eastAsia="仿宋" w:cs="仿宋"/>
                <w:color w:val="000000"/>
                <w:sz w:val="24"/>
              </w:rPr>
              <w:t>（3）分析基本到位、内容基本全面的得3分，未提供或提供内容不符合要求的不得分。</w:t>
            </w:r>
          </w:p>
        </w:tc>
      </w:tr>
      <w:tr w14:paraId="2632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2212" w:type="dxa"/>
            <w:vMerge w:val="continue"/>
            <w:tcBorders>
              <w:left w:val="single" w:color="auto" w:sz="4" w:space="0"/>
              <w:right w:val="single" w:color="auto" w:sz="4" w:space="0"/>
            </w:tcBorders>
            <w:vAlign w:val="center"/>
          </w:tcPr>
          <w:p w14:paraId="7C9793C7">
            <w:pPr>
              <w:jc w:val="left"/>
              <w:rPr>
                <w:rFonts w:ascii="仿宋" w:hAnsi="仿宋" w:eastAsia="仿宋" w:cs="仿宋"/>
                <w:color w:val="000000"/>
                <w:sz w:val="24"/>
              </w:rPr>
            </w:pPr>
          </w:p>
        </w:tc>
        <w:tc>
          <w:tcPr>
            <w:tcW w:w="1763" w:type="dxa"/>
            <w:tcBorders>
              <w:top w:val="single" w:color="auto" w:sz="4" w:space="0"/>
              <w:left w:val="single" w:color="auto" w:sz="4" w:space="0"/>
              <w:bottom w:val="single" w:color="auto" w:sz="4" w:space="0"/>
              <w:right w:val="single" w:color="auto" w:sz="4" w:space="0"/>
            </w:tcBorders>
            <w:vAlign w:val="center"/>
          </w:tcPr>
          <w:p w14:paraId="2689DD48">
            <w:pPr>
              <w:jc w:val="left"/>
              <w:rPr>
                <w:rFonts w:ascii="仿宋" w:hAnsi="仿宋" w:eastAsia="仿宋" w:cs="仿宋"/>
                <w:color w:val="000000"/>
                <w:sz w:val="24"/>
              </w:rPr>
            </w:pPr>
            <w:r>
              <w:rPr>
                <w:rFonts w:hint="eastAsia" w:ascii="仿宋" w:hAnsi="仿宋" w:eastAsia="仿宋" w:cs="仿宋"/>
                <w:color w:val="000000"/>
                <w:sz w:val="24"/>
              </w:rPr>
              <w:t>编制质量与进度保障（10分）</w:t>
            </w:r>
          </w:p>
        </w:tc>
        <w:tc>
          <w:tcPr>
            <w:tcW w:w="5783" w:type="dxa"/>
            <w:tcBorders>
              <w:top w:val="single" w:color="auto" w:sz="4" w:space="0"/>
              <w:left w:val="single" w:color="auto" w:sz="4" w:space="0"/>
              <w:bottom w:val="single" w:color="auto" w:sz="4" w:space="0"/>
              <w:right w:val="single" w:color="auto" w:sz="4" w:space="0"/>
            </w:tcBorders>
            <w:vAlign w:val="center"/>
          </w:tcPr>
          <w:p w14:paraId="5A5E99C5">
            <w:pPr>
              <w:widowControl/>
              <w:jc w:val="left"/>
              <w:rPr>
                <w:rFonts w:ascii="仿宋" w:hAnsi="仿宋" w:eastAsia="仿宋" w:cs="仿宋"/>
                <w:color w:val="000000"/>
                <w:sz w:val="24"/>
              </w:rPr>
            </w:pPr>
            <w:r>
              <w:rPr>
                <w:rFonts w:hint="eastAsia" w:ascii="仿宋" w:hAnsi="仿宋" w:eastAsia="仿宋" w:cs="仿宋"/>
                <w:color w:val="000000"/>
                <w:sz w:val="24"/>
              </w:rPr>
              <w:t>（1）提供详细的项目进度计划、质量保证措施及风险预案得10分；</w:t>
            </w:r>
          </w:p>
          <w:p w14:paraId="0DC6768D">
            <w:pPr>
              <w:widowControl/>
              <w:jc w:val="left"/>
              <w:rPr>
                <w:rFonts w:ascii="仿宋" w:hAnsi="仿宋" w:eastAsia="仿宋" w:cs="仿宋"/>
                <w:color w:val="000000"/>
                <w:sz w:val="24"/>
              </w:rPr>
            </w:pPr>
            <w:r>
              <w:rPr>
                <w:rFonts w:hint="eastAsia" w:ascii="仿宋" w:hAnsi="仿宋" w:eastAsia="仿宋" w:cs="仿宋"/>
                <w:color w:val="000000"/>
                <w:sz w:val="24"/>
              </w:rPr>
              <w:t>（2）措施基本完善，但缺乏针对性得5分；</w:t>
            </w:r>
          </w:p>
          <w:p w14:paraId="1D3A7161">
            <w:pPr>
              <w:jc w:val="left"/>
              <w:rPr>
                <w:rFonts w:ascii="仿宋" w:hAnsi="仿宋" w:eastAsia="仿宋" w:cs="仿宋"/>
                <w:color w:val="000000"/>
                <w:sz w:val="24"/>
              </w:rPr>
            </w:pPr>
            <w:r>
              <w:rPr>
                <w:rFonts w:hint="eastAsia" w:ascii="仿宋" w:hAnsi="仿宋" w:eastAsia="仿宋" w:cs="仿宋"/>
                <w:color w:val="000000"/>
                <w:sz w:val="24"/>
              </w:rPr>
              <w:t>（3）措施粗糙，可操作性差得3分，未提供的不得分。</w:t>
            </w:r>
          </w:p>
        </w:tc>
      </w:tr>
      <w:tr w14:paraId="4A18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58" w:type="dxa"/>
            <w:gridSpan w:val="3"/>
            <w:tcBorders>
              <w:left w:val="single" w:color="auto" w:sz="4" w:space="0"/>
              <w:right w:val="single" w:color="auto" w:sz="4" w:space="0"/>
            </w:tcBorders>
            <w:vAlign w:val="center"/>
          </w:tcPr>
          <w:p w14:paraId="40E0C629">
            <w:pPr>
              <w:pStyle w:val="13"/>
              <w:adjustRightInd/>
              <w:spacing w:after="0" w:line="560" w:lineRule="exact"/>
              <w:ind w:left="0" w:leftChars="0" w:right="0" w:rightChars="0" w:firstLine="0" w:firstLineChars="0"/>
              <w:jc w:val="left"/>
              <w:textAlignment w:val="auto"/>
              <w:rPr>
                <w:rFonts w:ascii="仿宋" w:hAnsi="仿宋" w:eastAsia="仿宋" w:cs="仿宋"/>
                <w:color w:val="000000"/>
                <w:sz w:val="28"/>
                <w:szCs w:val="28"/>
              </w:rPr>
            </w:pPr>
            <w:r>
              <w:rPr>
                <w:rFonts w:hint="eastAsia" w:ascii="宋体" w:hAnsi="宋体" w:eastAsia="宋体" w:cs="宋体"/>
                <w:b/>
                <w:color w:val="000000"/>
                <w:sz w:val="28"/>
                <w:szCs w:val="28"/>
              </w:rPr>
              <w:t>价格项（10分）</w:t>
            </w:r>
          </w:p>
        </w:tc>
      </w:tr>
      <w:tr w14:paraId="3A3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758" w:type="dxa"/>
            <w:gridSpan w:val="3"/>
            <w:tcBorders>
              <w:left w:val="single" w:color="auto" w:sz="4" w:space="0"/>
              <w:right w:val="single" w:color="auto" w:sz="4" w:space="0"/>
            </w:tcBorders>
            <w:vAlign w:val="center"/>
          </w:tcPr>
          <w:p w14:paraId="021967A8">
            <w:pPr>
              <w:widowControl/>
              <w:rPr>
                <w:rFonts w:ascii="仿宋" w:hAnsi="仿宋" w:eastAsia="仿宋" w:cs="仿宋"/>
                <w:color w:val="000000"/>
                <w:sz w:val="24"/>
              </w:rPr>
            </w:pPr>
            <w:r>
              <w:rPr>
                <w:rFonts w:hint="eastAsia" w:ascii="仿宋" w:hAnsi="仿宋" w:eastAsia="仿宋" w:cs="仿宋"/>
                <w:color w:val="000000"/>
                <w:sz w:val="24"/>
              </w:rPr>
              <w:t>（1）价格分采用低价优先法计算，即满足</w:t>
            </w:r>
            <w:r>
              <w:rPr>
                <w:rFonts w:hint="eastAsia" w:ascii="仿宋" w:hAnsi="仿宋" w:eastAsia="仿宋" w:cs="仿宋"/>
                <w:color w:val="000000"/>
                <w:sz w:val="24"/>
                <w:lang w:eastAsia="zh-CN"/>
              </w:rPr>
              <w:t>比选</w:t>
            </w:r>
            <w:r>
              <w:rPr>
                <w:rFonts w:hint="eastAsia" w:ascii="仿宋" w:hAnsi="仿宋" w:eastAsia="仿宋" w:cs="仿宋"/>
                <w:color w:val="000000"/>
                <w:sz w:val="24"/>
              </w:rPr>
              <w:t>文件要求且报价最低的供应商的价格为</w:t>
            </w:r>
            <w:r>
              <w:rPr>
                <w:rFonts w:hint="eastAsia" w:ascii="仿宋" w:hAnsi="仿宋" w:eastAsia="仿宋" w:cs="仿宋"/>
                <w:color w:val="000000"/>
                <w:sz w:val="24"/>
                <w:lang w:eastAsia="zh-CN"/>
              </w:rPr>
              <w:t>比选</w:t>
            </w:r>
            <w:r>
              <w:rPr>
                <w:rFonts w:hint="eastAsia" w:ascii="仿宋" w:hAnsi="仿宋" w:eastAsia="仿宋" w:cs="仿宋"/>
                <w:color w:val="000000"/>
                <w:sz w:val="24"/>
              </w:rPr>
              <w:t>基准价，其价格分为满分10分；</w:t>
            </w:r>
          </w:p>
          <w:p w14:paraId="7F0E7D52">
            <w:pPr>
              <w:widowControl/>
              <w:rPr>
                <w:rFonts w:ascii="仿宋" w:hAnsi="仿宋" w:eastAsia="仿宋" w:cs="仿宋"/>
                <w:color w:val="000000"/>
                <w:sz w:val="24"/>
              </w:rPr>
            </w:pPr>
            <w:r>
              <w:rPr>
                <w:rFonts w:hint="eastAsia" w:ascii="仿宋" w:hAnsi="仿宋" w:eastAsia="仿宋" w:cs="仿宋"/>
                <w:color w:val="000000"/>
                <w:sz w:val="24"/>
              </w:rPr>
              <w:t>（2）其他供应商的价格分统一按照下列公式计算：</w:t>
            </w:r>
            <w:r>
              <w:rPr>
                <w:rFonts w:hint="eastAsia" w:ascii="仿宋" w:hAnsi="仿宋" w:eastAsia="仿宋" w:cs="仿宋"/>
                <w:color w:val="000000"/>
                <w:sz w:val="24"/>
                <w:lang w:eastAsia="zh-CN"/>
              </w:rPr>
              <w:t>比选</w:t>
            </w:r>
            <w:r>
              <w:rPr>
                <w:rFonts w:hint="eastAsia" w:ascii="仿宋" w:hAnsi="仿宋" w:eastAsia="仿宋" w:cs="仿宋"/>
                <w:color w:val="000000"/>
                <w:sz w:val="24"/>
              </w:rPr>
              <w:t>报价得分=（</w:t>
            </w:r>
            <w:r>
              <w:rPr>
                <w:rFonts w:hint="eastAsia" w:ascii="仿宋" w:hAnsi="仿宋" w:eastAsia="仿宋" w:cs="仿宋"/>
                <w:color w:val="000000"/>
                <w:sz w:val="24"/>
                <w:lang w:eastAsia="zh-CN"/>
              </w:rPr>
              <w:t>比选</w:t>
            </w:r>
            <w:r>
              <w:rPr>
                <w:rFonts w:hint="eastAsia" w:ascii="仿宋" w:hAnsi="仿宋" w:eastAsia="仿宋" w:cs="仿宋"/>
                <w:color w:val="000000"/>
                <w:sz w:val="24"/>
              </w:rPr>
              <w:t>基准价／最后</w:t>
            </w:r>
            <w:r>
              <w:rPr>
                <w:rFonts w:hint="eastAsia" w:ascii="仿宋" w:hAnsi="仿宋" w:eastAsia="仿宋" w:cs="仿宋"/>
                <w:color w:val="000000"/>
                <w:sz w:val="24"/>
                <w:lang w:eastAsia="zh-CN"/>
              </w:rPr>
              <w:t>比选</w:t>
            </w:r>
            <w:r>
              <w:rPr>
                <w:rFonts w:hint="eastAsia" w:ascii="仿宋" w:hAnsi="仿宋" w:eastAsia="仿宋" w:cs="仿宋"/>
                <w:color w:val="000000"/>
                <w:sz w:val="24"/>
              </w:rPr>
              <w:t>报价）×价格权值（10）×100%（四舍五入保留两位小数）；</w:t>
            </w:r>
          </w:p>
          <w:p w14:paraId="0F5BBB3A">
            <w:pPr>
              <w:widowControl/>
              <w:rPr>
                <w:rFonts w:ascii="仿宋" w:hAnsi="仿宋" w:eastAsia="仿宋" w:cs="仿宋"/>
                <w:color w:val="000000"/>
                <w:sz w:val="28"/>
                <w:szCs w:val="28"/>
              </w:rPr>
            </w:pPr>
            <w:r>
              <w:rPr>
                <w:rFonts w:hint="eastAsia" w:ascii="仿宋" w:hAnsi="仿宋" w:eastAsia="仿宋" w:cs="仿宋"/>
                <w:color w:val="000000"/>
                <w:sz w:val="24"/>
              </w:rPr>
              <w:t>（3）报价高于最高限价（30万元（不含））的不得分。</w:t>
            </w:r>
          </w:p>
        </w:tc>
      </w:tr>
    </w:tbl>
    <w:p w14:paraId="5E0AF13A">
      <w:pPr>
        <w:jc w:val="center"/>
        <w:rPr>
          <w:rFonts w:ascii="仿宋" w:hAnsi="仿宋" w:eastAsia="仿宋" w:cs="仿宋"/>
          <w:b/>
          <w:bCs/>
          <w:sz w:val="32"/>
          <w:szCs w:val="32"/>
        </w:rPr>
      </w:pPr>
    </w:p>
    <w:p w14:paraId="58CD656F">
      <w:pPr>
        <w:jc w:val="center"/>
        <w:rPr>
          <w:rFonts w:ascii="仿宋" w:hAnsi="仿宋" w:eastAsia="仿宋" w:cs="仿宋"/>
          <w:b/>
          <w:bCs/>
          <w:sz w:val="32"/>
          <w:szCs w:val="32"/>
        </w:rPr>
      </w:pPr>
    </w:p>
    <w:p w14:paraId="4106FBBB">
      <w:pPr>
        <w:jc w:val="center"/>
        <w:rPr>
          <w:rFonts w:ascii="仿宋" w:hAnsi="仿宋" w:eastAsia="仿宋" w:cs="仿宋"/>
          <w:b/>
          <w:bCs/>
          <w:sz w:val="32"/>
          <w:szCs w:val="32"/>
        </w:rPr>
      </w:pPr>
    </w:p>
    <w:p w14:paraId="6883870D">
      <w:pPr>
        <w:jc w:val="center"/>
        <w:rPr>
          <w:rFonts w:ascii="仿宋" w:hAnsi="仿宋" w:eastAsia="仿宋" w:cs="仿宋"/>
          <w:b/>
          <w:bCs/>
          <w:sz w:val="32"/>
          <w:szCs w:val="32"/>
        </w:rPr>
      </w:pPr>
    </w:p>
    <w:p w14:paraId="357C431D">
      <w:pPr>
        <w:jc w:val="center"/>
        <w:rPr>
          <w:rFonts w:ascii="仿宋" w:hAnsi="仿宋" w:eastAsia="仿宋" w:cs="仿宋"/>
          <w:b/>
          <w:bCs/>
          <w:sz w:val="32"/>
          <w:szCs w:val="32"/>
        </w:rPr>
      </w:pPr>
    </w:p>
    <w:p w14:paraId="04B527B2">
      <w:pPr>
        <w:jc w:val="center"/>
        <w:rPr>
          <w:rFonts w:ascii="仿宋" w:hAnsi="仿宋" w:eastAsia="仿宋" w:cs="仿宋"/>
          <w:b/>
          <w:bCs/>
          <w:sz w:val="32"/>
          <w:szCs w:val="32"/>
        </w:rPr>
      </w:pPr>
    </w:p>
    <w:p w14:paraId="48B69573">
      <w:pPr>
        <w:jc w:val="center"/>
        <w:rPr>
          <w:rFonts w:ascii="仿宋" w:hAnsi="仿宋" w:eastAsia="仿宋" w:cs="仿宋"/>
          <w:b/>
          <w:bCs/>
          <w:sz w:val="32"/>
          <w:szCs w:val="32"/>
        </w:rPr>
      </w:pPr>
    </w:p>
    <w:p w14:paraId="142E402B">
      <w:pPr>
        <w:jc w:val="center"/>
        <w:rPr>
          <w:rFonts w:ascii="仿宋" w:hAnsi="仿宋" w:eastAsia="仿宋" w:cs="仿宋"/>
          <w:b/>
          <w:bCs/>
          <w:sz w:val="32"/>
          <w:szCs w:val="32"/>
        </w:rPr>
      </w:pPr>
    </w:p>
    <w:p w14:paraId="76BFD4FD">
      <w:pPr>
        <w:jc w:val="center"/>
        <w:rPr>
          <w:rFonts w:ascii="仿宋" w:hAnsi="仿宋" w:eastAsia="仿宋" w:cs="仿宋"/>
          <w:sz w:val="32"/>
          <w:szCs w:val="32"/>
        </w:rPr>
      </w:pPr>
      <w:r>
        <w:rPr>
          <w:rFonts w:hint="eastAsia" w:ascii="仿宋" w:hAnsi="仿宋" w:eastAsia="仿宋" w:cs="仿宋"/>
          <w:b/>
          <w:bCs/>
          <w:sz w:val="32"/>
          <w:szCs w:val="32"/>
        </w:rPr>
        <w:t>第四章 合同</w:t>
      </w:r>
    </w:p>
    <w:p w14:paraId="7FCF4DBC">
      <w:pPr>
        <w:spacing w:line="520" w:lineRule="exact"/>
        <w:jc w:val="center"/>
        <w:rPr>
          <w:rFonts w:ascii="宋体" w:hAnsi="宋体" w:eastAsia="宋体" w:cs="宋体"/>
          <w:b/>
          <w:bCs/>
          <w:sz w:val="44"/>
          <w:szCs w:val="44"/>
        </w:rPr>
      </w:pPr>
    </w:p>
    <w:p w14:paraId="0C62545D">
      <w:pPr>
        <w:spacing w:line="520" w:lineRule="exact"/>
        <w:jc w:val="center"/>
        <w:rPr>
          <w:rFonts w:ascii="宋体" w:hAnsi="宋体" w:eastAsia="宋体" w:cs="宋体"/>
          <w:b/>
          <w:bCs/>
          <w:sz w:val="44"/>
          <w:szCs w:val="44"/>
        </w:rPr>
      </w:pPr>
      <w:r>
        <w:rPr>
          <w:rFonts w:hint="eastAsia" w:ascii="宋体" w:hAnsi="宋体" w:eastAsia="宋体" w:cs="宋体"/>
          <w:b/>
          <w:bCs/>
          <w:sz w:val="44"/>
          <w:szCs w:val="44"/>
        </w:rPr>
        <w:t>概念性规划设计合同</w:t>
      </w:r>
    </w:p>
    <w:p w14:paraId="1CCAE80E">
      <w:pPr>
        <w:spacing w:line="520" w:lineRule="exact"/>
        <w:jc w:val="left"/>
        <w:rPr>
          <w:rFonts w:ascii="宋体" w:hAnsi="宋体" w:eastAsia="宋体" w:cs="宋体"/>
          <w:b/>
          <w:bCs/>
          <w:sz w:val="28"/>
          <w:szCs w:val="28"/>
        </w:rPr>
      </w:pPr>
    </w:p>
    <w:p w14:paraId="67CB6713">
      <w:pPr>
        <w:spacing w:line="520" w:lineRule="exact"/>
        <w:jc w:val="left"/>
        <w:rPr>
          <w:rFonts w:ascii="宋体" w:hAnsi="宋体" w:eastAsia="宋体" w:cs="宋体"/>
          <w:b/>
          <w:bCs/>
          <w:sz w:val="28"/>
          <w:szCs w:val="28"/>
        </w:rPr>
      </w:pPr>
      <w:r>
        <w:rPr>
          <w:rFonts w:hint="eastAsia" w:ascii="宋体" w:hAnsi="宋体" w:eastAsia="宋体" w:cs="宋体"/>
          <w:b/>
          <w:bCs/>
          <w:sz w:val="28"/>
          <w:szCs w:val="28"/>
        </w:rPr>
        <w:t>委托人（甲方）：</w:t>
      </w:r>
      <w:r>
        <w:rPr>
          <w:rFonts w:hint="eastAsia" w:ascii="宋体" w:hAnsi="宋体" w:eastAsia="宋体" w:cs="宋体"/>
          <w:b/>
          <w:bCs/>
          <w:sz w:val="28"/>
          <w:szCs w:val="28"/>
          <w:u w:val="single"/>
        </w:rPr>
        <w:t xml:space="preserve">                （以下简称“甲方”）</w:t>
      </w:r>
    </w:p>
    <w:p w14:paraId="2F55DCCB">
      <w:pPr>
        <w:spacing w:line="520" w:lineRule="exact"/>
        <w:jc w:val="left"/>
        <w:rPr>
          <w:rFonts w:ascii="宋体" w:hAnsi="宋体" w:eastAsia="宋体" w:cs="宋体"/>
          <w:b/>
          <w:bCs/>
          <w:sz w:val="28"/>
          <w:szCs w:val="28"/>
          <w:u w:val="single"/>
        </w:rPr>
      </w:pPr>
      <w:r>
        <w:rPr>
          <w:rFonts w:hint="eastAsia" w:ascii="宋体" w:hAnsi="宋体" w:eastAsia="宋体" w:cs="宋体"/>
          <w:b/>
          <w:bCs/>
          <w:sz w:val="28"/>
          <w:szCs w:val="28"/>
        </w:rPr>
        <w:t>受托人（乙方）：</w:t>
      </w:r>
      <w:r>
        <w:rPr>
          <w:rFonts w:hint="eastAsia" w:ascii="宋体" w:hAnsi="宋体" w:eastAsia="宋体" w:cs="宋体"/>
          <w:b/>
          <w:bCs/>
          <w:sz w:val="28"/>
          <w:szCs w:val="28"/>
          <w:u w:val="single"/>
        </w:rPr>
        <w:t xml:space="preserve">                （以下简称“乙方”）</w:t>
      </w:r>
    </w:p>
    <w:p w14:paraId="69490BB4">
      <w:pPr>
        <w:spacing w:line="520" w:lineRule="exact"/>
        <w:ind w:firstLine="560" w:firstLineChars="200"/>
        <w:jc w:val="left"/>
        <w:rPr>
          <w:rFonts w:ascii="宋体" w:hAnsi="宋体" w:eastAsia="宋体" w:cs="宋体"/>
          <w:sz w:val="28"/>
          <w:szCs w:val="28"/>
        </w:rPr>
      </w:pPr>
    </w:p>
    <w:p w14:paraId="48AE25DC">
      <w:pPr>
        <w:widowControl/>
        <w:spacing w:line="520" w:lineRule="exact"/>
        <w:ind w:firstLine="560" w:firstLineChars="200"/>
        <w:jc w:val="left"/>
        <w:rPr>
          <w:rFonts w:ascii="宋体" w:hAnsi="宋体" w:eastAsia="宋体" w:cs="宋体"/>
          <w:sz w:val="28"/>
          <w:szCs w:val="28"/>
        </w:rPr>
      </w:pPr>
      <w:r>
        <w:rPr>
          <w:rFonts w:hint="eastAsia" w:ascii="宋体" w:hAnsi="宋体" w:eastAsia="宋体" w:cs="宋体"/>
          <w:kern w:val="0"/>
          <w:sz w:val="28"/>
          <w:szCs w:val="28"/>
        </w:rPr>
        <w:t>甲乙双方依照《中华人民共和国民法典》及其他有关法律、行政法规，遵循平等、自愿、有偿、公平和诚信的原则，就</w:t>
      </w:r>
      <w:r>
        <w:rPr>
          <w:rFonts w:hint="eastAsia" w:ascii="宋体" w:hAnsi="宋体" w:eastAsia="宋体" w:cs="宋体"/>
          <w:sz w:val="28"/>
          <w:szCs w:val="28"/>
        </w:rPr>
        <w:t>金銮湾景区（福莱喜大酒店）</w:t>
      </w:r>
      <w:r>
        <w:rPr>
          <w:rFonts w:hint="eastAsia" w:ascii="宋体" w:hAnsi="宋体" w:eastAsia="宋体" w:cs="宋体"/>
          <w:kern w:val="0"/>
          <w:sz w:val="28"/>
          <w:szCs w:val="28"/>
        </w:rPr>
        <w:t>概念性规划设计相关服务事项达成如下合同条款，以兹甲乙双方信守。</w:t>
      </w:r>
    </w:p>
    <w:p w14:paraId="5C038DE0">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一、</w:t>
      </w:r>
      <w:bookmarkStart w:id="13" w:name="_Hlk65683069"/>
      <w:r>
        <w:rPr>
          <w:rFonts w:hint="eastAsia" w:ascii="宋体" w:hAnsi="宋体" w:eastAsia="宋体" w:cs="宋体"/>
          <w:b/>
          <w:bCs/>
          <w:sz w:val="28"/>
          <w:szCs w:val="28"/>
        </w:rPr>
        <w:t>项目概况</w:t>
      </w:r>
      <w:bookmarkEnd w:id="13"/>
    </w:p>
    <w:p w14:paraId="380F23D6">
      <w:pPr>
        <w:tabs>
          <w:tab w:val="left" w:pos="0"/>
        </w:tabs>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1、项目名称：金銮湾景区（福莱喜大酒店）概念性规划设计</w:t>
      </w:r>
    </w:p>
    <w:p w14:paraId="06CABED3">
      <w:pPr>
        <w:tabs>
          <w:tab w:val="left" w:pos="0"/>
        </w:tabs>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2、项目地点：福建省漳州市东山县樟塘镇海明威路8号。</w:t>
      </w:r>
    </w:p>
    <w:p w14:paraId="3115D011">
      <w:pPr>
        <w:tabs>
          <w:tab w:val="left" w:pos="0"/>
        </w:tabs>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3、项目内容：包括但不限于项目总体定位与规划、空间布局与功能分区、业态设计、交通系统设计、基础设施与服务体系、流量预估与容量分析、投资与运营建议等。</w:t>
      </w:r>
    </w:p>
    <w:p w14:paraId="163DA214">
      <w:pPr>
        <w:tabs>
          <w:tab w:val="left" w:pos="0"/>
        </w:tabs>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4、服务周期：自合同签订起至项目通过甲方书面确认。</w:t>
      </w:r>
    </w:p>
    <w:p w14:paraId="0D19C346">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二、服务内容</w:t>
      </w:r>
    </w:p>
    <w:p w14:paraId="6AD2F72B">
      <w:pPr>
        <w:widowControl/>
        <w:numPr>
          <w:ilvl w:val="255"/>
          <w:numId w:val="0"/>
        </w:numPr>
        <w:kinsoku w:val="0"/>
        <w:adjustRightInd w:val="0"/>
        <w:snapToGrid w:val="0"/>
        <w:spacing w:line="520" w:lineRule="exact"/>
        <w:ind w:firstLine="560" w:firstLineChars="200"/>
        <w:jc w:val="left"/>
        <w:textAlignment w:val="baseline"/>
        <w:outlineLvl w:val="0"/>
        <w:rPr>
          <w:rFonts w:ascii="宋体" w:hAnsi="宋体" w:eastAsia="宋体" w:cs="宋体"/>
          <w:sz w:val="28"/>
          <w:szCs w:val="28"/>
        </w:rPr>
      </w:pPr>
      <w:r>
        <w:rPr>
          <w:rFonts w:hint="eastAsia" w:ascii="宋体" w:hAnsi="宋体" w:eastAsia="宋体" w:cs="宋体"/>
          <w:sz w:val="28"/>
          <w:szCs w:val="28"/>
        </w:rPr>
        <w:t>1、界定策划范围，对项目地的相关资源进行全面的现状调查，了解产业基础，提炼资源特色，研究存在问题；</w:t>
      </w:r>
    </w:p>
    <w:p w14:paraId="6AD578F3">
      <w:pPr>
        <w:widowControl/>
        <w:numPr>
          <w:ilvl w:val="255"/>
          <w:numId w:val="0"/>
        </w:numPr>
        <w:kinsoku w:val="0"/>
        <w:adjustRightInd w:val="0"/>
        <w:snapToGrid w:val="0"/>
        <w:spacing w:line="520" w:lineRule="exact"/>
        <w:ind w:firstLine="560" w:firstLineChars="200"/>
        <w:jc w:val="left"/>
        <w:textAlignment w:val="baseline"/>
        <w:outlineLvl w:val="0"/>
        <w:rPr>
          <w:rFonts w:ascii="宋体" w:hAnsi="宋体" w:eastAsia="宋体" w:cs="宋体"/>
          <w:sz w:val="28"/>
          <w:szCs w:val="28"/>
        </w:rPr>
      </w:pPr>
      <w:r>
        <w:rPr>
          <w:rFonts w:hint="eastAsia" w:ascii="宋体" w:hAnsi="宋体" w:eastAsia="宋体" w:cs="宋体"/>
          <w:sz w:val="28"/>
          <w:szCs w:val="28"/>
        </w:rPr>
        <w:t>2、通过对项目地的区位交通、资源特点、产业基础、上位规划等多维层面的综合分析研究，结合国内同类项目发展优势，确定项目地的旅游总体定位、发展方向，明确业态分类与分布；</w:t>
      </w:r>
    </w:p>
    <w:p w14:paraId="4E9C04CF">
      <w:pPr>
        <w:widowControl/>
        <w:numPr>
          <w:ilvl w:val="255"/>
          <w:numId w:val="0"/>
        </w:numPr>
        <w:kinsoku w:val="0"/>
        <w:adjustRightInd w:val="0"/>
        <w:snapToGrid w:val="0"/>
        <w:spacing w:line="520" w:lineRule="exact"/>
        <w:ind w:firstLine="560" w:firstLineChars="200"/>
        <w:jc w:val="left"/>
        <w:textAlignment w:val="baseline"/>
        <w:outlineLvl w:val="0"/>
        <w:rPr>
          <w:rFonts w:ascii="宋体" w:hAnsi="宋体" w:eastAsia="宋体" w:cs="宋体"/>
          <w:sz w:val="28"/>
          <w:szCs w:val="28"/>
        </w:rPr>
      </w:pPr>
      <w:r>
        <w:rPr>
          <w:rFonts w:hint="eastAsia" w:ascii="宋体" w:hAnsi="宋体" w:eastAsia="宋体" w:cs="宋体"/>
          <w:sz w:val="28"/>
          <w:szCs w:val="28"/>
        </w:rPr>
        <w:t>3、停车场规划及交通系统设计，包含不限于车流线设计、人流线设计、电瓶车覆盖及线路规划；</w:t>
      </w:r>
    </w:p>
    <w:p w14:paraId="74AD361B">
      <w:pPr>
        <w:widowControl/>
        <w:numPr>
          <w:ilvl w:val="255"/>
          <w:numId w:val="0"/>
        </w:numPr>
        <w:kinsoku w:val="0"/>
        <w:adjustRightInd w:val="0"/>
        <w:snapToGrid w:val="0"/>
        <w:spacing w:line="520" w:lineRule="exact"/>
        <w:ind w:firstLine="560" w:firstLineChars="200"/>
        <w:jc w:val="left"/>
        <w:textAlignment w:val="baseline"/>
        <w:outlineLvl w:val="0"/>
        <w:rPr>
          <w:rFonts w:ascii="宋体" w:hAnsi="宋体" w:eastAsia="宋体" w:cs="宋体"/>
          <w:sz w:val="28"/>
          <w:szCs w:val="28"/>
        </w:rPr>
      </w:pPr>
      <w:r>
        <w:rPr>
          <w:rFonts w:hint="eastAsia" w:ascii="宋体" w:hAnsi="宋体" w:eastAsia="宋体" w:cs="宋体"/>
          <w:sz w:val="28"/>
          <w:szCs w:val="28"/>
        </w:rPr>
        <w:t>4、预测项目地旅游市场接待总量、客源结构与消费偏好等；同时做好流量预估与容量分析；</w:t>
      </w:r>
    </w:p>
    <w:p w14:paraId="775406F1">
      <w:pPr>
        <w:widowControl/>
        <w:numPr>
          <w:ilvl w:val="255"/>
          <w:numId w:val="0"/>
        </w:numPr>
        <w:kinsoku w:val="0"/>
        <w:adjustRightInd w:val="0"/>
        <w:snapToGrid w:val="0"/>
        <w:spacing w:line="520" w:lineRule="exact"/>
        <w:ind w:firstLine="560" w:firstLineChars="200"/>
        <w:jc w:val="left"/>
        <w:textAlignment w:val="baseline"/>
        <w:outlineLvl w:val="0"/>
        <w:rPr>
          <w:rFonts w:ascii="宋体" w:hAnsi="宋体" w:eastAsia="宋体" w:cs="宋体"/>
          <w:sz w:val="28"/>
          <w:szCs w:val="28"/>
        </w:rPr>
      </w:pPr>
      <w:r>
        <w:rPr>
          <w:rFonts w:hint="eastAsia" w:ascii="宋体" w:hAnsi="宋体" w:eastAsia="宋体" w:cs="宋体"/>
          <w:sz w:val="28"/>
          <w:szCs w:val="28"/>
        </w:rPr>
        <w:t>5、若以资金投入为基础，需科学评估项目回报，形成投资回报分析；</w:t>
      </w:r>
    </w:p>
    <w:p w14:paraId="40ACD03F">
      <w:pPr>
        <w:widowControl/>
        <w:numPr>
          <w:ilvl w:val="255"/>
          <w:numId w:val="0"/>
        </w:numPr>
        <w:kinsoku w:val="0"/>
        <w:adjustRightInd w:val="0"/>
        <w:snapToGrid w:val="0"/>
        <w:spacing w:line="520" w:lineRule="exact"/>
        <w:ind w:firstLine="560" w:firstLineChars="200"/>
        <w:jc w:val="left"/>
        <w:textAlignment w:val="baseline"/>
        <w:outlineLvl w:val="0"/>
        <w:rPr>
          <w:rFonts w:ascii="宋体" w:hAnsi="宋体" w:eastAsia="宋体" w:cs="宋体"/>
          <w:sz w:val="28"/>
          <w:szCs w:val="28"/>
        </w:rPr>
      </w:pPr>
      <w:r>
        <w:rPr>
          <w:rFonts w:hint="eastAsia" w:ascii="宋体" w:hAnsi="宋体" w:eastAsia="宋体" w:cs="宋体"/>
          <w:sz w:val="28"/>
          <w:szCs w:val="28"/>
        </w:rPr>
        <w:t>6、策划成果包括文本、图纸和全套电子文件，其中，图纸包括但不限于：（1）区位分析图；（2）场地现状分析图；（3）功能分区图；（</w:t>
      </w:r>
      <w:r>
        <w:rPr>
          <w:rFonts w:ascii="宋体" w:hAnsi="宋体" w:eastAsia="宋体" w:cs="宋体"/>
          <w:sz w:val="28"/>
          <w:szCs w:val="28"/>
        </w:rPr>
        <w:t>4</w:t>
      </w:r>
      <w:r>
        <w:rPr>
          <w:rFonts w:hint="eastAsia" w:ascii="宋体" w:hAnsi="宋体" w:eastAsia="宋体" w:cs="宋体"/>
          <w:sz w:val="28"/>
          <w:szCs w:val="28"/>
        </w:rPr>
        <w:t>）项目总平面图；（</w:t>
      </w:r>
      <w:r>
        <w:rPr>
          <w:rFonts w:ascii="宋体" w:hAnsi="宋体" w:eastAsia="宋体" w:cs="宋体"/>
          <w:sz w:val="28"/>
          <w:szCs w:val="28"/>
        </w:rPr>
        <w:t>5</w:t>
      </w:r>
      <w:r>
        <w:rPr>
          <w:rFonts w:hint="eastAsia" w:ascii="宋体" w:hAnsi="宋体" w:eastAsia="宋体" w:cs="宋体"/>
          <w:sz w:val="28"/>
          <w:szCs w:val="28"/>
        </w:rPr>
        <w:t>）效果意向图。</w:t>
      </w:r>
    </w:p>
    <w:p w14:paraId="4A39BF8A">
      <w:pPr>
        <w:widowControl/>
        <w:numPr>
          <w:ilvl w:val="255"/>
          <w:numId w:val="0"/>
        </w:numPr>
        <w:kinsoku w:val="0"/>
        <w:adjustRightInd w:val="0"/>
        <w:snapToGrid w:val="0"/>
        <w:spacing w:line="520" w:lineRule="exact"/>
        <w:ind w:firstLine="562" w:firstLineChars="200"/>
        <w:jc w:val="left"/>
        <w:textAlignment w:val="baseline"/>
        <w:outlineLvl w:val="0"/>
        <w:rPr>
          <w:rFonts w:ascii="宋体" w:hAnsi="宋体" w:eastAsia="宋体" w:cs="宋体"/>
          <w:sz w:val="28"/>
          <w:szCs w:val="28"/>
        </w:rPr>
      </w:pPr>
      <w:r>
        <w:rPr>
          <w:rFonts w:hint="eastAsia" w:ascii="宋体" w:hAnsi="宋体" w:eastAsia="宋体" w:cs="宋体"/>
          <w:b/>
          <w:bCs/>
          <w:sz w:val="28"/>
          <w:szCs w:val="28"/>
        </w:rPr>
        <w:t>（二）项目内容及成果要求</w:t>
      </w:r>
    </w:p>
    <w:p w14:paraId="06921307">
      <w:pPr>
        <w:widowControl/>
        <w:numPr>
          <w:ilvl w:val="255"/>
          <w:numId w:val="0"/>
        </w:num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（1）服务内容</w:t>
      </w:r>
    </w:p>
    <w:p w14:paraId="04D3A83C">
      <w:pPr>
        <w:widowControl/>
        <w:numPr>
          <w:ilvl w:val="255"/>
          <w:numId w:val="0"/>
        </w:numPr>
        <w:kinsoku w:val="0"/>
        <w:adjustRightInd w:val="0"/>
        <w:snapToGrid w:val="0"/>
        <w:spacing w:line="520" w:lineRule="exact"/>
        <w:ind w:firstLine="560" w:firstLineChars="200"/>
        <w:jc w:val="left"/>
        <w:textAlignment w:val="baseline"/>
        <w:rPr>
          <w:rFonts w:ascii="宋体" w:hAnsi="宋体" w:eastAsia="宋体" w:cs="宋体"/>
          <w:sz w:val="28"/>
          <w:szCs w:val="28"/>
        </w:rPr>
      </w:pPr>
      <w:r>
        <w:rPr>
          <w:rFonts w:hint="eastAsia" w:ascii="宋体" w:hAnsi="宋体" w:eastAsia="宋体" w:cs="宋体"/>
          <w:sz w:val="28"/>
          <w:szCs w:val="28"/>
        </w:rPr>
        <w:t>明确项目中重要点位的功能定位，进行业态功能的系统化研究。确定业态落位和选点，明确每个系统的路径、功能服务及空间意向，提出实施策略，形成可落地的实施策划方案。</w:t>
      </w:r>
    </w:p>
    <w:p w14:paraId="4453A06F">
      <w:pPr>
        <w:widowControl/>
        <w:numPr>
          <w:ilvl w:val="255"/>
          <w:numId w:val="0"/>
        </w:numPr>
        <w:kinsoku w:val="0"/>
        <w:adjustRightInd w:val="0"/>
        <w:snapToGrid w:val="0"/>
        <w:spacing w:line="520" w:lineRule="exact"/>
        <w:ind w:firstLine="560" w:firstLineChars="200"/>
        <w:jc w:val="left"/>
        <w:textAlignment w:val="baseline"/>
        <w:rPr>
          <w:rFonts w:ascii="宋体" w:hAnsi="宋体" w:eastAsia="宋体" w:cs="宋体"/>
          <w:sz w:val="28"/>
          <w:szCs w:val="28"/>
        </w:rPr>
      </w:pPr>
      <w:r>
        <w:rPr>
          <w:rFonts w:hint="eastAsia" w:ascii="宋体" w:hAnsi="宋体" w:eastAsia="宋体" w:cs="宋体"/>
          <w:sz w:val="28"/>
          <w:szCs w:val="28"/>
        </w:rPr>
        <w:t>（2）成果形式</w:t>
      </w:r>
    </w:p>
    <w:p w14:paraId="5FB2AED7">
      <w:pPr>
        <w:widowControl/>
        <w:numPr>
          <w:ilvl w:val="255"/>
          <w:numId w:val="0"/>
        </w:numPr>
        <w:kinsoku w:val="0"/>
        <w:adjustRightInd w:val="0"/>
        <w:snapToGrid w:val="0"/>
        <w:spacing w:line="520" w:lineRule="exact"/>
        <w:ind w:firstLine="560" w:firstLineChars="200"/>
        <w:jc w:val="left"/>
        <w:textAlignment w:val="baseline"/>
        <w:rPr>
          <w:rFonts w:ascii="宋体" w:hAnsi="宋体" w:eastAsia="宋体" w:cs="宋体"/>
          <w:sz w:val="28"/>
          <w:szCs w:val="28"/>
          <w:lang w:bidi="ar"/>
        </w:rPr>
      </w:pPr>
      <w:r>
        <w:rPr>
          <w:rFonts w:hint="eastAsia" w:ascii="宋体" w:hAnsi="宋体" w:eastAsia="宋体" w:cs="宋体"/>
          <w:sz w:val="28"/>
          <w:szCs w:val="28"/>
          <w:lang w:bidi="ar"/>
        </w:rPr>
        <w:t>①成果包含以上工作内容的电子汇报文件1套（内容包括汇报演示文件、效果图等）；</w:t>
      </w:r>
    </w:p>
    <w:p w14:paraId="558CB654">
      <w:pPr>
        <w:widowControl/>
        <w:numPr>
          <w:ilvl w:val="255"/>
          <w:numId w:val="0"/>
        </w:numPr>
        <w:kinsoku w:val="0"/>
        <w:adjustRightInd w:val="0"/>
        <w:snapToGrid w:val="0"/>
        <w:spacing w:line="520" w:lineRule="exact"/>
        <w:ind w:firstLine="560" w:firstLineChars="200"/>
        <w:jc w:val="left"/>
        <w:textAlignment w:val="baseline"/>
        <w:rPr>
          <w:rFonts w:ascii="宋体" w:hAnsi="宋体" w:eastAsia="宋体" w:cs="宋体"/>
          <w:sz w:val="28"/>
          <w:szCs w:val="28"/>
        </w:rPr>
      </w:pPr>
      <w:r>
        <w:rPr>
          <w:rFonts w:hint="eastAsia" w:ascii="宋体" w:hAnsi="宋体" w:eastAsia="宋体" w:cs="宋体"/>
          <w:sz w:val="28"/>
          <w:szCs w:val="28"/>
          <w:lang w:bidi="ar"/>
        </w:rPr>
        <w:t>②成果本册不少于</w:t>
      </w:r>
      <w:r>
        <w:rPr>
          <w:rFonts w:ascii="宋体" w:hAnsi="宋体" w:eastAsia="宋体" w:cs="宋体"/>
          <w:sz w:val="28"/>
          <w:szCs w:val="28"/>
          <w:lang w:bidi="ar"/>
        </w:rPr>
        <w:t>10</w:t>
      </w:r>
      <w:r>
        <w:rPr>
          <w:rFonts w:hint="eastAsia" w:ascii="宋体" w:hAnsi="宋体" w:eastAsia="宋体" w:cs="宋体"/>
          <w:sz w:val="28"/>
          <w:szCs w:val="28"/>
          <w:lang w:bidi="ar"/>
        </w:rPr>
        <w:t>套。</w:t>
      </w:r>
    </w:p>
    <w:p w14:paraId="15C528DD">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三、合同价款及支付方式</w:t>
      </w:r>
    </w:p>
    <w:p w14:paraId="654A8ACC">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1、合同总价款</w:t>
      </w:r>
    </w:p>
    <w:p w14:paraId="331A5F96">
      <w:pPr>
        <w:spacing w:line="520" w:lineRule="exact"/>
        <w:ind w:firstLine="560" w:firstLineChars="200"/>
        <w:jc w:val="left"/>
        <w:rPr>
          <w:rFonts w:ascii="宋体" w:hAnsi="宋体" w:eastAsia="宋体" w:cs="宋体"/>
          <w:kern w:val="0"/>
          <w:sz w:val="28"/>
          <w:szCs w:val="28"/>
          <w:lang w:bidi="en-US"/>
        </w:rPr>
      </w:pPr>
      <w:r>
        <w:rPr>
          <w:rFonts w:hint="eastAsia" w:ascii="宋体" w:hAnsi="宋体" w:eastAsia="宋体" w:cs="宋体"/>
          <w:kern w:val="0"/>
          <w:sz w:val="28"/>
          <w:szCs w:val="28"/>
          <w:lang w:bidi="en-US"/>
        </w:rPr>
        <w:t>（1）本合同含税价款固定总金额为</w:t>
      </w:r>
      <w:r>
        <w:rPr>
          <w:rFonts w:hint="eastAsia" w:ascii="宋体" w:hAnsi="宋体" w:eastAsia="宋体" w:cs="宋体"/>
          <w:kern w:val="0"/>
          <w:sz w:val="28"/>
          <w:szCs w:val="28"/>
          <w:u w:val="single"/>
          <w:lang w:bidi="en-US"/>
        </w:rPr>
        <w:t>人民币：¥          元</w:t>
      </w:r>
      <w:r>
        <w:rPr>
          <w:rFonts w:hint="eastAsia" w:ascii="宋体" w:hAnsi="宋体" w:eastAsia="宋体" w:cs="宋体"/>
          <w:kern w:val="0"/>
          <w:sz w:val="28"/>
          <w:szCs w:val="28"/>
          <w:lang w:bidi="en-US"/>
        </w:rPr>
        <w:t>（大写：</w:t>
      </w:r>
      <w:r>
        <w:rPr>
          <w:rFonts w:hint="eastAsia" w:ascii="宋体" w:hAnsi="宋体" w:eastAsia="宋体" w:cs="宋体"/>
          <w:sz w:val="28"/>
          <w:szCs w:val="28"/>
          <w:u w:val="single"/>
        </w:rPr>
        <w:t xml:space="preserve">   元整）</w:t>
      </w:r>
      <w:r>
        <w:rPr>
          <w:rFonts w:hint="eastAsia" w:ascii="宋体" w:hAnsi="宋体" w:eastAsia="宋体" w:cs="宋体"/>
          <w:kern w:val="0"/>
          <w:sz w:val="28"/>
          <w:szCs w:val="28"/>
          <w:lang w:bidi="en-US"/>
        </w:rPr>
        <w:t>，其中不含税价</w:t>
      </w:r>
      <w:r>
        <w:rPr>
          <w:rFonts w:hint="eastAsia" w:ascii="宋体" w:hAnsi="宋体" w:eastAsia="宋体" w:cs="宋体"/>
          <w:kern w:val="0"/>
          <w:sz w:val="28"/>
          <w:szCs w:val="28"/>
          <w:u w:val="single"/>
          <w:lang w:bidi="en-US"/>
        </w:rPr>
        <w:t xml:space="preserve">    </w:t>
      </w:r>
      <w:r>
        <w:rPr>
          <w:rFonts w:hint="eastAsia" w:ascii="宋体" w:hAnsi="宋体" w:eastAsia="宋体" w:cs="宋体"/>
          <w:kern w:val="0"/>
          <w:sz w:val="28"/>
          <w:szCs w:val="28"/>
          <w:lang w:bidi="en-US"/>
        </w:rPr>
        <w:t>元，增值税</w:t>
      </w:r>
      <w:r>
        <w:rPr>
          <w:rFonts w:hint="eastAsia" w:ascii="宋体" w:hAnsi="宋体" w:eastAsia="宋体" w:cs="宋体"/>
          <w:kern w:val="0"/>
          <w:sz w:val="28"/>
          <w:szCs w:val="28"/>
          <w:u w:val="single"/>
          <w:lang w:bidi="en-US"/>
        </w:rPr>
        <w:t xml:space="preserve">    </w:t>
      </w:r>
      <w:r>
        <w:rPr>
          <w:rFonts w:hint="eastAsia" w:ascii="宋体" w:hAnsi="宋体" w:eastAsia="宋体" w:cs="宋体"/>
          <w:kern w:val="0"/>
          <w:sz w:val="28"/>
          <w:szCs w:val="28"/>
          <w:lang w:bidi="en-US"/>
        </w:rPr>
        <w:t>元，固定总价风险包干，包含完成本项目的全部费用成本、利润、交通费、税金等，包含但不限于：①收集资料、现场踏勘所需的各种费用；②成果编制费、各阶段设计指导服务费，成果文件修改等；③提供电子文档、制作效果图、制作文本、按合同段需要提供足额数量图纸以及多次大范围修改成果等因素所造成或产生的费用；④为完成本项目规定的其他义务以及乙方认为有必要计入的其它费用；⑤专家评审费⑥所有根据合同或其它原因应由乙方支付的税金和其它应缴纳的费用都已包括在乙方提交的报价中。</w:t>
      </w:r>
    </w:p>
    <w:p w14:paraId="1A19238E">
      <w:pPr>
        <w:spacing w:line="520" w:lineRule="exact"/>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en-US"/>
        </w:rPr>
        <w:t>(2)如果本合同中未尽事宜，或本合同履行过程中</w:t>
      </w:r>
      <w:r>
        <w:rPr>
          <w:rFonts w:hint="eastAsia" w:ascii="宋体" w:hAnsi="宋体" w:eastAsia="宋体" w:cs="宋体"/>
          <w:sz w:val="28"/>
          <w:szCs w:val="28"/>
        </w:rPr>
        <w:t>因项目需求发生变更或甲方需求增项，以致造成乙方工作量明显增加时，由乙方提出书面申请，经甲乙双方协商签订补充合同，甲方另行向乙方支付增加费用，补充合同与本合同具有同等法律效力。</w:t>
      </w:r>
    </w:p>
    <w:p w14:paraId="76934268">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2、支付方式</w:t>
      </w:r>
    </w:p>
    <w:p w14:paraId="60EBDA5F">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（1）本合同生效后十日内，支付设计费用总价30%，即人民币       元整（¥       ）的定金；</w:t>
      </w:r>
    </w:p>
    <w:p w14:paraId="556D6543">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（2）合同签订之日  天内，受托人向委托人提供设计方案。受托方提交设计方案（送审稿）经专家评审并完成修改稿后十五日内，支付设计费用总价40%，即人民币         元整（¥        ）；</w:t>
      </w:r>
    </w:p>
    <w:p w14:paraId="44DBE1D3">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（3）受托方提交的方案成果，经业主单位及业主上级部门认可后十五日内，付清余款，即人民币         元整（¥     ）；</w:t>
      </w:r>
    </w:p>
    <w:p w14:paraId="23B965B1">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每期款项支付前，受托方应向委托方提供付款申请资料及等额有效的增值税专用发票，否则委托方有权延迟支付，且不承担违约责任。</w:t>
      </w:r>
    </w:p>
    <w:p w14:paraId="1841CA3E">
      <w:pPr>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委托方的开票信息：</w:t>
      </w:r>
    </w:p>
    <w:p w14:paraId="667EFBF9">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受托方收款账户名称、开户行和账号为:</w:t>
      </w:r>
    </w:p>
    <w:p w14:paraId="698EACA2">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开户行:                               </w:t>
      </w:r>
      <w:r>
        <w:rPr>
          <w:rFonts w:hint="eastAsia" w:ascii="宋体" w:hAnsi="宋体" w:eastAsia="宋体" w:cs="宋体"/>
          <w:sz w:val="28"/>
          <w:szCs w:val="28"/>
        </w:rPr>
        <w:tab/>
      </w:r>
    </w:p>
    <w:p w14:paraId="30725FBE">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户名:                                   </w:t>
      </w:r>
    </w:p>
    <w:p w14:paraId="1715F67B">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账号:                                     </w:t>
      </w:r>
    </w:p>
    <w:p w14:paraId="76B137BF">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受托方账户信息发生变化的，应在委托方付款前至少五个工作日前书面通知委托方，否则损失由受托方自行承担。</w:t>
      </w:r>
    </w:p>
    <w:p w14:paraId="4BAEFA8C">
      <w:pPr>
        <w:spacing w:line="520" w:lineRule="exact"/>
        <w:ind w:firstLine="560" w:firstLineChars="200"/>
        <w:jc w:val="left"/>
        <w:rPr>
          <w:rFonts w:ascii="宋体" w:hAnsi="宋体" w:eastAsia="宋体" w:cs="宋体"/>
          <w:b/>
          <w:bCs/>
          <w:sz w:val="28"/>
          <w:szCs w:val="28"/>
        </w:rPr>
      </w:pPr>
      <w:r>
        <w:rPr>
          <w:rFonts w:hint="eastAsia" w:ascii="宋体" w:hAnsi="宋体" w:eastAsia="宋体" w:cs="宋体"/>
          <w:sz w:val="28"/>
          <w:szCs w:val="28"/>
        </w:rPr>
        <w:t>注：付款申请资料是指：请款函、成果证明/成果封面（首付款无此项）、合同复印件、中选通知书复印件、营业执照、开户许可证、发票等。</w:t>
      </w:r>
    </w:p>
    <w:p w14:paraId="2238D995">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四、甲乙双方的权利义务</w:t>
      </w:r>
    </w:p>
    <w:p w14:paraId="0B7B5231">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1、甲方的权利义务</w:t>
      </w:r>
    </w:p>
    <w:p w14:paraId="3C6F7BF8">
      <w:pPr>
        <w:widowControl/>
        <w:spacing w:line="52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（1）甲方负责对本项目全程进行监督，对服务成果进行确认，对乙方规划设计方案编制工作提出建设性意见。</w:t>
      </w:r>
    </w:p>
    <w:p w14:paraId="2C3A6DC7">
      <w:pPr>
        <w:widowControl/>
        <w:spacing w:line="52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（2）甲方保证本项目整体工作中所需资料的真实性及可行性，并向乙方提供各重要点位的现状地形图及实施方案所需要的相关基础资料。</w:t>
      </w:r>
    </w:p>
    <w:p w14:paraId="7C46C36F">
      <w:pPr>
        <w:widowControl/>
        <w:spacing w:line="52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（3）甲方负责按照本合同约定的时间和金额，分期按时足额支付各阶段合同价款。</w:t>
      </w:r>
    </w:p>
    <w:p w14:paraId="6D94CF20">
      <w:pPr>
        <w:widowControl/>
        <w:spacing w:line="52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（4）甲方于收到乙方提交的各阶段服务成果后的5个工作日内进行审核。如甲方有修改意见，自乙方提交成果之日起5个工作日内书面提出，超出期限未书面提出修改意见的视为甲方已经对工作成果予以确认。</w:t>
      </w:r>
    </w:p>
    <w:p w14:paraId="154BF0B2">
      <w:pPr>
        <w:widowControl/>
        <w:spacing w:line="52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（5）甲方指定</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（联系电话：</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）作为本项目的联络人，负责转达甲方的建议，提供和接收文件和资料，对乙方的工作成果进行验收、确认。</w:t>
      </w:r>
    </w:p>
    <w:p w14:paraId="47814426">
      <w:pPr>
        <w:spacing w:line="520" w:lineRule="exact"/>
        <w:ind w:firstLine="562" w:firstLineChars="200"/>
        <w:jc w:val="left"/>
        <w:rPr>
          <w:rFonts w:ascii="宋体" w:hAnsi="宋体" w:eastAsia="宋体" w:cs="宋体"/>
          <w:sz w:val="28"/>
          <w:szCs w:val="28"/>
        </w:rPr>
      </w:pPr>
      <w:r>
        <w:rPr>
          <w:rFonts w:hint="eastAsia" w:ascii="宋体" w:hAnsi="宋体" w:eastAsia="宋体" w:cs="宋体"/>
          <w:b/>
          <w:bCs/>
          <w:sz w:val="28"/>
          <w:szCs w:val="28"/>
        </w:rPr>
        <w:t>2、乙方的权利义务</w:t>
      </w:r>
    </w:p>
    <w:p w14:paraId="4E11B22D">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（1）乙方秉持专业精神和专业水准，按合同约定保证优质高效地完成本项目的实施策划、组织、执行服务等工作。</w:t>
      </w:r>
    </w:p>
    <w:p w14:paraId="1AD468C0">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（2）乙方负责按合同条款约定按时提交各阶段成果，并按约定保证甲方拥有成果的相关知识产权。</w:t>
      </w:r>
    </w:p>
    <w:p w14:paraId="5CB6FAFE">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（3）在合作过程中乙方对双方资料负有保密责任和义务；未经甲方同意，乙方不得向除参与本项目之外的第三方提供。</w:t>
      </w:r>
    </w:p>
    <w:p w14:paraId="3F4CCFD0">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乙方在履行本合同义务期间，将遵守国家有关法律、规定和政策，维护甲方的合法权益。乙方提供各阶段成果时，应根据甲方的建设性意见及时进行修改、完善。但乙方有权拒绝甲方提出的本合同约定之外或违反国家相关法律、规定、政策的要求。</w:t>
      </w:r>
    </w:p>
    <w:p w14:paraId="52F6AD0A">
      <w:pPr>
        <w:widowControl/>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（5）乙方指定</w:t>
      </w:r>
      <w:r>
        <w:rPr>
          <w:rFonts w:hint="eastAsia" w:ascii="宋体" w:hAnsi="宋体" w:eastAsia="宋体" w:cs="宋体"/>
          <w:sz w:val="28"/>
          <w:szCs w:val="28"/>
          <w:u w:val="single"/>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）作为本项目的联络人，负责转达乙方的工作安排，提供和接收文件和资料，与甲方对接工作成果。</w:t>
      </w:r>
    </w:p>
    <w:p w14:paraId="3BF1BC1F">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五、知识产权</w:t>
      </w:r>
    </w:p>
    <w:p w14:paraId="4C5FBA85">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1、合同执行中产生的中间成果未经一方书面同意，另一方不得进行复制、散发、传播等。</w:t>
      </w:r>
    </w:p>
    <w:p w14:paraId="26CB8349">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2、甲方完全支付了本合同全部价款后，本成果的知识产权归甲方所有，乙方享有宣传权及署名权。</w:t>
      </w:r>
    </w:p>
    <w:p w14:paraId="6AB8FD62">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六、保密条款</w:t>
      </w:r>
    </w:p>
    <w:p w14:paraId="0035A90E">
      <w:pPr>
        <w:widowControl/>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1、乙方对甲方提供的资料负有保密义务，未经甲方同意，不得向无关单位或个人提供有关资料。如发生以上情况，甲方有权索赔。</w:t>
      </w:r>
    </w:p>
    <w:p w14:paraId="261DAE18">
      <w:pPr>
        <w:widowControl/>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2、甲方对乙方提供的一切资料、信息履行保密义务，未经乙方同意，不得向任何第三方泄露。。</w:t>
      </w:r>
    </w:p>
    <w:p w14:paraId="0AF5251E">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七、违约责任</w:t>
      </w:r>
    </w:p>
    <w:p w14:paraId="627D4AE3">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1、甲方违约责任</w:t>
      </w:r>
    </w:p>
    <w:p w14:paraId="1A4E7F1B">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合同生效后，甲方因自身原因以及其他原因要求终止或解除合同，乙方已经开展工作的，终止或解除合同后甲方将按乙方已经完成的工作成果支付进度款，已完成工作量和应支付的相应款项由甲乙双方及成果实施团队协商一致确认。</w:t>
      </w:r>
    </w:p>
    <w:p w14:paraId="540932C3">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（2）如因甲方自身原因导致本项目延后的，为了保证团队的成果质量，甲方应在双方协商后，并相应顺延乙方的服务周期。</w:t>
      </w:r>
    </w:p>
    <w:p w14:paraId="0A11F93A">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3）甲方未按合同条款约定的金额和期限向乙方支付相应费用的，每逾期一天，甲方向乙方支付本次应付款项金额万分之五的违约金；逾期超过15天时，乙方有权利书面通知甲方暂停服务工作，自暂停服务工作之日起15天内甲方支付相应费用的，乙方及时根据甲方要求恢复服务工作； </w:t>
      </w:r>
    </w:p>
    <w:p w14:paraId="5E9022EC">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2、乙方违约责任</w:t>
      </w:r>
    </w:p>
    <w:p w14:paraId="61B8E5ED">
      <w:pPr>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（1）合同生效后，乙方因自身原因要求终止或解除合同，终止或解除合同后乙方应全额退回已收取的费用并承担违约责任。</w:t>
      </w:r>
    </w:p>
    <w:p w14:paraId="3C44176C">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如果因乙方原因导致本项目筹办进程滞后或相关工作出现遗漏或错误，乙方应及时与甲方共商解决办法，并采取补救措施，力争将双方损失降至最低，并承担由此导致的服务周期延误、工作量增加的全部责任。</w:t>
      </w:r>
    </w:p>
    <w:p w14:paraId="7D5A2CDD">
      <w:pPr>
        <w:spacing w:line="520" w:lineRule="exact"/>
        <w:ind w:firstLine="560" w:firstLineChars="200"/>
        <w:jc w:val="left"/>
        <w:rPr>
          <w:rFonts w:ascii="宋体" w:hAnsi="宋体" w:eastAsia="宋体" w:cs="宋体"/>
          <w:b/>
          <w:bCs/>
          <w:sz w:val="28"/>
          <w:szCs w:val="28"/>
        </w:rPr>
      </w:pPr>
      <w:r>
        <w:rPr>
          <w:rFonts w:hint="eastAsia" w:ascii="宋体" w:hAnsi="宋体" w:eastAsia="宋体" w:cs="宋体"/>
          <w:sz w:val="28"/>
          <w:szCs w:val="28"/>
        </w:rPr>
        <w:t>（3）如果因乙方原因未按照甲乙双方确定的本项目筹办进程向甲方提交各阶段服务成果的，每逾期一天，乙方应向甲方支付该阶段对应款项金额万分之五的违约金；逾期超过15天时，甲方有权利书面通知乙方在15日历天内提交相应阶段成果，如超出书面通知约定的时间之后乙方仍未提交相应阶段成果，甲方有权单方解除本合同。</w:t>
      </w:r>
    </w:p>
    <w:p w14:paraId="60E115C6">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八、不可抗力</w:t>
      </w:r>
    </w:p>
    <w:p w14:paraId="6B2643E0">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1、不可抗力是指当事方不能预见、对其发生和后果不能避免和克服的情况，包括但不限于政府行为、战争行为或类似的军事行动、内乱、自然灾害和法律法规、政策有重大修改或调整致使本协议无法履行。</w:t>
      </w:r>
    </w:p>
    <w:p w14:paraId="36053889">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在发生不可抗力情况下的应对措施和解决办法：任何一方由于不可抗力原因不能履行合同时，应在不可抗力事件结束后及时向对方通报，以减轻可能给对方造成的损失，在取得有关机构的不可抗力证明或双方谅解确认后，允许延期履行或修订合同，并根据情况双方可部分或全部免于承担违约责任。</w:t>
      </w:r>
    </w:p>
    <w:p w14:paraId="72DB69EA">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九、争议解决和合同终止</w:t>
      </w:r>
    </w:p>
    <w:p w14:paraId="78648B4C">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1、合同执行中发生争议的，甲乙双方及时协商解决，协商未能达成一致的，可向项目所在地有管辖权的人民法院提请诉讼。</w:t>
      </w:r>
    </w:p>
    <w:p w14:paraId="0014E84A">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2、合同一经签订，任何一方不得擅自变更、中止或者终止合同。对确需变更、调整或者中止、终止合同的，应按规定履行相应的手续。</w:t>
      </w:r>
    </w:p>
    <w:p w14:paraId="3116A17F">
      <w:pPr>
        <w:spacing w:line="520" w:lineRule="exact"/>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十、合同生效和其他约定</w:t>
      </w:r>
    </w:p>
    <w:p w14:paraId="4ACA96C1">
      <w:pPr>
        <w:tabs>
          <w:tab w:val="left" w:pos="980"/>
        </w:tabs>
        <w:kinsoku w:val="0"/>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1、本合同经过甲乙双方法定代表人或授权代表签字并盖章后生效，并至乙方对本项目服务内容执行完毕，甲方合同价款全部支付到账乙方后自行终止。</w:t>
      </w:r>
    </w:p>
    <w:p w14:paraId="1EED264F">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甲乙双方在履行本合同的过程中，应廉洁自律，若乙方向甲方人员行贿，或甲方人员向乙方索贿，乙方满足其要求并未向甲方举报的，一经查实，除追回由此给甲方造成的损失外，乙方承诺在结算总价的基础上，下浮20%。</w:t>
      </w:r>
    </w:p>
    <w:p w14:paraId="3A01A901">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3、本合同一式</w:t>
      </w:r>
      <w:r>
        <w:rPr>
          <w:rFonts w:ascii="宋体" w:hAnsi="宋体" w:eastAsia="宋体" w:cs="宋体"/>
          <w:sz w:val="28"/>
          <w:szCs w:val="28"/>
        </w:rPr>
        <w:t>陆</w:t>
      </w:r>
      <w:r>
        <w:rPr>
          <w:rFonts w:hint="eastAsia" w:ascii="宋体" w:hAnsi="宋体" w:eastAsia="宋体" w:cs="宋体"/>
          <w:sz w:val="28"/>
          <w:szCs w:val="28"/>
        </w:rPr>
        <w:t>份，具有同等法律效力，双方各执</w:t>
      </w:r>
      <w:r>
        <w:rPr>
          <w:rFonts w:hint="eastAsia" w:ascii="宋体" w:hAnsi="宋体" w:eastAsia="宋体" w:cs="宋体"/>
          <w:sz w:val="28"/>
          <w:szCs w:val="28"/>
          <w:u w:val="single"/>
        </w:rPr>
        <w:t>叁</w:t>
      </w:r>
      <w:r>
        <w:rPr>
          <w:rFonts w:hint="eastAsia" w:ascii="宋体" w:hAnsi="宋体" w:eastAsia="宋体" w:cs="宋体"/>
          <w:sz w:val="28"/>
          <w:szCs w:val="28"/>
        </w:rPr>
        <w:t>份。均具同等法律效力，本合同的最终解释权归甲乙双方共同所有。</w:t>
      </w:r>
    </w:p>
    <w:p w14:paraId="5853E221">
      <w:pPr>
        <w:spacing w:line="500" w:lineRule="exact"/>
        <w:ind w:right="51"/>
        <w:rPr>
          <w:rFonts w:ascii="仿宋" w:hAnsi="仿宋" w:eastAsia="仿宋" w:cs="仿宋"/>
          <w:sz w:val="28"/>
          <w:szCs w:val="28"/>
        </w:rPr>
      </w:pPr>
    </w:p>
    <w:p w14:paraId="36DF88F0">
      <w:pPr>
        <w:spacing w:line="360" w:lineRule="auto"/>
        <w:ind w:right="-512" w:rightChars="-244"/>
        <w:rPr>
          <w:rFonts w:ascii="宋体" w:hAnsi="宋体" w:eastAsia="宋体" w:cs="宋体"/>
          <w:sz w:val="28"/>
          <w:szCs w:val="28"/>
        </w:rPr>
      </w:pPr>
      <w:r>
        <w:rPr>
          <w:rFonts w:hint="eastAsia" w:ascii="宋体" w:hAnsi="宋体" w:eastAsia="宋体" w:cs="宋体"/>
          <w:sz w:val="28"/>
          <w:szCs w:val="28"/>
        </w:rPr>
        <w:t>甲方（盖章）：                       乙方（盖章）：</w:t>
      </w:r>
    </w:p>
    <w:p w14:paraId="48C51509">
      <w:pPr>
        <w:spacing w:line="360" w:lineRule="auto"/>
        <w:ind w:right="-512" w:rightChars="-244"/>
        <w:rPr>
          <w:rFonts w:ascii="宋体" w:hAnsi="宋体" w:eastAsia="宋体" w:cs="宋体"/>
          <w:sz w:val="28"/>
          <w:szCs w:val="28"/>
        </w:rPr>
      </w:pPr>
      <w:r>
        <w:rPr>
          <w:rFonts w:hint="eastAsia" w:ascii="宋体" w:hAnsi="宋体" w:eastAsia="宋体" w:cs="宋体"/>
          <w:sz w:val="28"/>
          <w:szCs w:val="28"/>
        </w:rPr>
        <w:t>甲方代表（签字或盖章）：             乙方代表（签字或盖章）：</w:t>
      </w:r>
    </w:p>
    <w:p w14:paraId="1034A002">
      <w:pPr>
        <w:spacing w:line="360" w:lineRule="auto"/>
        <w:ind w:right="-512" w:rightChars="-244"/>
        <w:rPr>
          <w:rFonts w:ascii="宋体" w:hAnsi="宋体" w:eastAsia="宋体" w:cs="宋体"/>
          <w:sz w:val="28"/>
          <w:szCs w:val="28"/>
        </w:rPr>
      </w:pPr>
      <w:r>
        <w:rPr>
          <w:rFonts w:hint="eastAsia" w:ascii="宋体" w:hAnsi="宋体" w:eastAsia="宋体" w:cs="宋体"/>
          <w:sz w:val="28"/>
          <w:szCs w:val="28"/>
        </w:rPr>
        <w:t>联系电话：                          联系电话：</w:t>
      </w:r>
    </w:p>
    <w:p w14:paraId="4305B8F5">
      <w:pPr>
        <w:spacing w:line="360" w:lineRule="auto"/>
        <w:ind w:right="-512" w:rightChars="-244"/>
        <w:rPr>
          <w:rFonts w:ascii="宋体" w:hAnsi="宋体" w:eastAsia="宋体" w:cs="宋体"/>
          <w:sz w:val="28"/>
          <w:szCs w:val="28"/>
        </w:rPr>
      </w:pPr>
      <w:r>
        <w:rPr>
          <w:rFonts w:hint="eastAsia" w:ascii="宋体" w:hAnsi="宋体" w:eastAsia="宋体" w:cs="宋体"/>
          <w:sz w:val="28"/>
          <w:szCs w:val="28"/>
        </w:rPr>
        <w:t>联系地址：                          联系地址：</w:t>
      </w:r>
    </w:p>
    <w:p w14:paraId="41A35539">
      <w:pPr>
        <w:spacing w:line="360" w:lineRule="auto"/>
        <w:ind w:right="-512" w:rightChars="-244"/>
        <w:rPr>
          <w:rFonts w:ascii="宋体" w:hAnsi="宋体" w:eastAsia="宋体" w:cs="宋体"/>
          <w:sz w:val="28"/>
          <w:szCs w:val="28"/>
        </w:rPr>
      </w:pPr>
      <w:r>
        <w:rPr>
          <w:rFonts w:hint="eastAsia" w:ascii="宋体" w:hAnsi="宋体" w:eastAsia="宋体" w:cs="宋体"/>
          <w:sz w:val="28"/>
          <w:szCs w:val="28"/>
        </w:rPr>
        <w:t xml:space="preserve">                        </w:t>
      </w:r>
    </w:p>
    <w:p w14:paraId="4EFDF6B5">
      <w:pPr>
        <w:spacing w:line="360" w:lineRule="auto"/>
        <w:ind w:left="-420" w:leftChars="-200" w:right="-512" w:rightChars="-244" w:firstLine="560" w:firstLineChars="200"/>
        <w:jc w:val="center"/>
        <w:rPr>
          <w:rFonts w:ascii="宋体" w:hAnsi="宋体" w:eastAsia="宋体" w:cs="宋体"/>
          <w:sz w:val="28"/>
          <w:szCs w:val="28"/>
        </w:rPr>
      </w:pPr>
      <w:r>
        <w:rPr>
          <w:rFonts w:hint="eastAsia" w:ascii="宋体" w:hAnsi="宋体" w:eastAsia="宋体" w:cs="宋体"/>
          <w:sz w:val="28"/>
          <w:szCs w:val="28"/>
        </w:rPr>
        <w:t xml:space="preserve">                             签订日期：  年 月 日</w:t>
      </w:r>
    </w:p>
    <w:p w14:paraId="3D139112"/>
    <w:p w14:paraId="537397CA"/>
    <w:p w14:paraId="426510B0"/>
    <w:p w14:paraId="6BA32219"/>
    <w:p w14:paraId="1065B7D3"/>
    <w:p w14:paraId="7A0E30EE"/>
    <w:p w14:paraId="0FD95330"/>
    <w:p w14:paraId="4991A6EA"/>
    <w:p w14:paraId="559EA05C"/>
    <w:p w14:paraId="260380D0">
      <w:pPr>
        <w:jc w:val="center"/>
        <w:rPr>
          <w:rFonts w:hint="eastAsia" w:ascii="仿宋" w:hAnsi="仿宋" w:eastAsia="仿宋" w:cs="仿宋"/>
          <w:b/>
          <w:bCs/>
          <w:sz w:val="32"/>
          <w:szCs w:val="32"/>
        </w:rPr>
      </w:pPr>
    </w:p>
    <w:p w14:paraId="12EDC800">
      <w:pPr>
        <w:jc w:val="center"/>
        <w:rPr>
          <w:rFonts w:ascii="仿宋" w:hAnsi="仿宋" w:eastAsia="仿宋" w:cs="仿宋"/>
          <w:b/>
          <w:bCs/>
          <w:sz w:val="32"/>
          <w:szCs w:val="32"/>
        </w:rPr>
      </w:pPr>
      <w:r>
        <w:rPr>
          <w:rFonts w:hint="eastAsia" w:ascii="仿宋" w:hAnsi="仿宋" w:eastAsia="仿宋" w:cs="仿宋"/>
          <w:b/>
          <w:bCs/>
          <w:sz w:val="32"/>
          <w:szCs w:val="32"/>
        </w:rPr>
        <w:t>第五章 附件</w:t>
      </w:r>
    </w:p>
    <w:p w14:paraId="0B4335A0">
      <w:pPr>
        <w:adjustRightInd w:val="0"/>
        <w:snapToGrid w:val="0"/>
        <w:spacing w:before="312" w:beforeLines="100" w:line="440" w:lineRule="atLeast"/>
        <w:ind w:left="3855" w:hanging="3855" w:hangingChars="1200"/>
        <w:jc w:val="center"/>
        <w:textAlignment w:val="baseline"/>
        <w:rPr>
          <w:rFonts w:ascii="仿宋" w:hAnsi="仿宋" w:eastAsia="仿宋" w:cs="仿宋"/>
          <w:b/>
          <w:color w:val="000000"/>
          <w:sz w:val="30"/>
          <w:szCs w:val="30"/>
        </w:rPr>
      </w:pPr>
      <w:r>
        <w:rPr>
          <w:rFonts w:hint="eastAsia" w:ascii="仿宋" w:hAnsi="仿宋" w:eastAsia="仿宋" w:cs="仿宋"/>
          <w:b/>
          <w:color w:val="000000"/>
          <w:sz w:val="32"/>
          <w:szCs w:val="32"/>
        </w:rPr>
        <w:t>法定代表人资格证明书</w:t>
      </w:r>
    </w:p>
    <w:p w14:paraId="2E7D01E4">
      <w:pPr>
        <w:adjustRightInd w:val="0"/>
        <w:spacing w:line="480" w:lineRule="auto"/>
        <w:ind w:left="546" w:leftChars="260"/>
        <w:textAlignment w:val="baseline"/>
        <w:rPr>
          <w:rFonts w:ascii="仿宋" w:hAnsi="仿宋" w:eastAsia="仿宋" w:cs="仿宋"/>
          <w:color w:val="000000"/>
          <w:sz w:val="26"/>
          <w:szCs w:val="20"/>
        </w:rPr>
      </w:pPr>
    </w:p>
    <w:p w14:paraId="4A6E2B50">
      <w:pPr>
        <w:adjustRightInd w:val="0"/>
        <w:spacing w:line="520" w:lineRule="exact"/>
        <w:ind w:left="546" w:leftChars="260"/>
        <w:textAlignment w:val="baseline"/>
        <w:rPr>
          <w:rFonts w:ascii="仿宋" w:hAnsi="仿宋" w:eastAsia="仿宋" w:cs="仿宋"/>
          <w:color w:val="000000"/>
          <w:sz w:val="28"/>
          <w:szCs w:val="28"/>
        </w:rPr>
      </w:pPr>
      <w:r>
        <w:rPr>
          <w:rFonts w:hint="eastAsia" w:ascii="仿宋" w:hAnsi="仿宋" w:eastAsia="仿宋" w:cs="仿宋"/>
          <w:color w:val="000000"/>
          <w:sz w:val="28"/>
          <w:szCs w:val="28"/>
        </w:rPr>
        <w:t>响应人名称：</w:t>
      </w:r>
      <w:r>
        <w:rPr>
          <w:rFonts w:hint="eastAsia" w:ascii="仿宋" w:hAnsi="仿宋" w:eastAsia="仿宋" w:cs="仿宋"/>
          <w:color w:val="000000"/>
          <w:sz w:val="28"/>
          <w:szCs w:val="28"/>
          <w:u w:val="single"/>
        </w:rPr>
        <w:t xml:space="preserve">                                                       </w:t>
      </w:r>
    </w:p>
    <w:p w14:paraId="46CC36D3">
      <w:pPr>
        <w:adjustRightInd w:val="0"/>
        <w:spacing w:line="520" w:lineRule="exact"/>
        <w:ind w:left="546" w:leftChars="260"/>
        <w:textAlignment w:val="baseline"/>
        <w:rPr>
          <w:rFonts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14:paraId="65D07DC8">
      <w:pPr>
        <w:adjustRightInd w:val="0"/>
        <w:spacing w:line="520" w:lineRule="exact"/>
        <w:ind w:left="546" w:leftChars="260"/>
        <w:textAlignment w:val="baseline"/>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44B99A07">
      <w:pPr>
        <w:adjustRightInd w:val="0"/>
        <w:spacing w:line="520" w:lineRule="exact"/>
        <w:ind w:left="546" w:leftChars="260"/>
        <w:textAlignment w:val="baseline"/>
        <w:rPr>
          <w:rFonts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手机号码：</w:t>
      </w:r>
      <w:r>
        <w:rPr>
          <w:rFonts w:hint="eastAsia" w:ascii="仿宋" w:hAnsi="仿宋" w:eastAsia="仿宋" w:cs="仿宋"/>
          <w:color w:val="000000"/>
          <w:sz w:val="28"/>
          <w:szCs w:val="28"/>
          <w:u w:val="single"/>
        </w:rPr>
        <w:t xml:space="preserve">               </w:t>
      </w:r>
    </w:p>
    <w:p w14:paraId="6D8AAA12">
      <w:pPr>
        <w:adjustRightInd w:val="0"/>
        <w:spacing w:line="52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（响应人名称）</w:t>
      </w:r>
      <w:r>
        <w:rPr>
          <w:rFonts w:hint="eastAsia" w:ascii="仿宋" w:hAnsi="仿宋" w:eastAsia="仿宋" w:cs="仿宋"/>
          <w:color w:val="000000"/>
          <w:sz w:val="28"/>
          <w:szCs w:val="28"/>
        </w:rPr>
        <w:t>的法定代表人。</w:t>
      </w:r>
    </w:p>
    <w:p w14:paraId="287A9D07">
      <w:pPr>
        <w:adjustRightInd w:val="0"/>
        <w:spacing w:line="520" w:lineRule="exact"/>
        <w:ind w:firstLine="560" w:firstLineChars="200"/>
        <w:textAlignment w:val="baseline"/>
        <w:rPr>
          <w:rFonts w:ascii="仿宋" w:hAnsi="仿宋" w:eastAsia="仿宋" w:cs="仿宋"/>
          <w:color w:val="000000"/>
          <w:sz w:val="28"/>
          <w:szCs w:val="28"/>
        </w:rPr>
      </w:pPr>
    </w:p>
    <w:p w14:paraId="5D7CAC5B">
      <w:pPr>
        <w:adjustRightInd w:val="0"/>
        <w:spacing w:line="520" w:lineRule="exact"/>
        <w:ind w:firstLine="1120" w:firstLineChars="400"/>
        <w:textAlignment w:val="baseline"/>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1F31D63">
      <w:pPr>
        <w:adjustRightInd w:val="0"/>
        <w:spacing w:line="520" w:lineRule="exact"/>
        <w:ind w:firstLine="560" w:firstLineChars="200"/>
        <w:textAlignment w:val="baseline"/>
        <w:rPr>
          <w:rFonts w:ascii="仿宋" w:hAnsi="仿宋" w:eastAsia="仿宋" w:cs="仿宋"/>
          <w:color w:val="000000"/>
          <w:sz w:val="28"/>
          <w:szCs w:val="28"/>
        </w:rPr>
      </w:pPr>
    </w:p>
    <w:p w14:paraId="3069EC58">
      <w:pPr>
        <w:adjustRightInd w:val="0"/>
        <w:spacing w:line="52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附：法人身份证复印件</w:t>
      </w:r>
    </w:p>
    <w:p w14:paraId="31909CE9">
      <w:pPr>
        <w:adjustRightInd w:val="0"/>
        <w:spacing w:line="520" w:lineRule="exact"/>
        <w:ind w:firstLine="1120" w:firstLineChars="400"/>
        <w:textAlignment w:val="baseline"/>
        <w:rPr>
          <w:rFonts w:ascii="仿宋" w:hAnsi="仿宋" w:eastAsia="仿宋" w:cs="仿宋"/>
          <w:color w:val="000000"/>
          <w:sz w:val="28"/>
          <w:szCs w:val="28"/>
        </w:rPr>
      </w:pPr>
    </w:p>
    <w:p w14:paraId="5ACF4225">
      <w:pPr>
        <w:adjustRightInd w:val="0"/>
        <w:spacing w:line="520" w:lineRule="exact"/>
        <w:ind w:firstLine="1120" w:firstLineChars="400"/>
        <w:textAlignment w:val="baseline"/>
        <w:rPr>
          <w:rFonts w:ascii="仿宋" w:hAnsi="仿宋" w:eastAsia="仿宋" w:cs="仿宋"/>
          <w:color w:val="000000"/>
          <w:sz w:val="28"/>
          <w:szCs w:val="28"/>
        </w:rPr>
      </w:pPr>
    </w:p>
    <w:p w14:paraId="55577863">
      <w:pPr>
        <w:adjustRightInd w:val="0"/>
        <w:spacing w:line="52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响应人：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(盖单位公章)</w:t>
      </w:r>
    </w:p>
    <w:p w14:paraId="0C3975D4">
      <w:pPr>
        <w:adjustRightInd w:val="0"/>
        <w:spacing w:line="52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2BDDE8C0">
      <w:pPr>
        <w:jc w:val="center"/>
        <w:rPr>
          <w:rFonts w:ascii="仿宋" w:hAnsi="仿宋" w:eastAsia="仿宋" w:cs="仿宋"/>
          <w:b/>
          <w:color w:val="000000"/>
          <w:sz w:val="28"/>
          <w:szCs w:val="28"/>
        </w:rPr>
      </w:pPr>
      <w:r>
        <w:rPr>
          <w:rFonts w:hint="eastAsia" w:ascii="仿宋" w:hAnsi="仿宋" w:eastAsia="仿宋" w:cs="仿宋"/>
          <w:color w:val="000000"/>
          <w:sz w:val="24"/>
        </w:rPr>
        <w:br w:type="page"/>
      </w:r>
      <w:r>
        <w:rPr>
          <w:rFonts w:hint="eastAsia" w:ascii="仿宋" w:hAnsi="仿宋" w:eastAsia="仿宋" w:cs="仿宋"/>
          <w:b/>
          <w:caps/>
          <w:color w:val="000000"/>
          <w:sz w:val="32"/>
          <w:szCs w:val="32"/>
        </w:rPr>
        <w:t>企业信誉承诺</w:t>
      </w:r>
      <w:r>
        <w:rPr>
          <w:rFonts w:hint="eastAsia" w:ascii="仿宋" w:hAnsi="仿宋" w:eastAsia="仿宋" w:cs="仿宋"/>
          <w:b/>
          <w:color w:val="000000"/>
          <w:sz w:val="28"/>
          <w:szCs w:val="28"/>
        </w:rPr>
        <w:t xml:space="preserve">  </w:t>
      </w:r>
    </w:p>
    <w:p w14:paraId="5E538B0B">
      <w:pPr>
        <w:snapToGrid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致：福建</w:t>
      </w:r>
      <w:r>
        <w:rPr>
          <w:rFonts w:hint="eastAsia" w:ascii="仿宋" w:hAnsi="仿宋" w:eastAsia="仿宋" w:cs="仿宋"/>
          <w:color w:val="000000"/>
          <w:sz w:val="28"/>
          <w:szCs w:val="28"/>
          <w:u w:val="single"/>
        </w:rPr>
        <w:t>福旅青年文化交流有限公司</w:t>
      </w:r>
    </w:p>
    <w:p w14:paraId="0617B70C">
      <w:pPr>
        <w:snapToGrid w:val="0"/>
        <w:spacing w:line="520" w:lineRule="exact"/>
        <w:ind w:firstLine="700" w:firstLineChars="250"/>
        <w:rPr>
          <w:rFonts w:ascii="仿宋" w:hAnsi="仿宋" w:eastAsia="仿宋" w:cs="仿宋"/>
          <w:color w:val="000000"/>
          <w:sz w:val="28"/>
          <w:szCs w:val="28"/>
        </w:rPr>
      </w:pPr>
      <w:r>
        <w:rPr>
          <w:rFonts w:hint="eastAsia" w:ascii="仿宋" w:hAnsi="仿宋" w:eastAsia="仿宋" w:cs="仿宋"/>
          <w:color w:val="000000"/>
          <w:sz w:val="28"/>
          <w:szCs w:val="28"/>
        </w:rPr>
        <w:t>本企业郑重承诺：</w:t>
      </w:r>
    </w:p>
    <w:p w14:paraId="3D48AE78">
      <w:pPr>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（一）本企业及其负责人在参加本次征集活动前一年内，未因经营活动违法违规被县级以上行政主管部门处罚，或无弄虚作假骗取征集资格；本企业在参加参加本次</w:t>
      </w:r>
      <w:r>
        <w:rPr>
          <w:rFonts w:hint="eastAsia" w:ascii="仿宋" w:hAnsi="仿宋" w:eastAsia="仿宋" w:cs="仿宋"/>
          <w:color w:val="000000"/>
          <w:sz w:val="28"/>
          <w:szCs w:val="28"/>
          <w:lang w:val="en-US" w:eastAsia="zh-CN"/>
        </w:rPr>
        <w:t>征集比选</w:t>
      </w:r>
      <w:r>
        <w:rPr>
          <w:rFonts w:hint="eastAsia" w:ascii="仿宋" w:hAnsi="仿宋" w:eastAsia="仿宋" w:cs="仿宋"/>
          <w:color w:val="000000"/>
          <w:sz w:val="28"/>
          <w:szCs w:val="28"/>
        </w:rPr>
        <w:t>活动前三年内，本企业及其负责人在经营活动中没有重大违法行为，未被追究刑事责任；本企业未被有关部门禁止或者限制承接国有资金项目的相关业务。</w:t>
      </w:r>
    </w:p>
    <w:p w14:paraId="4F1A71D9">
      <w:pPr>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（二）我们提供的一切材料都是真实、有效的，如有弄虚作假及其他违法违规行为，我公司愿意接受漳州市有关部门依照有关法律、法规、规章或规定给予的处罚或处理。</w:t>
      </w:r>
    </w:p>
    <w:p w14:paraId="2658FAA4">
      <w:pPr>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（三）我公司已详细阅读征集</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公告并完全响应</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文件内容的要求，将自行承担因对征集比选内容理解不正确或误解而产生的相应后果。</w:t>
      </w:r>
    </w:p>
    <w:p w14:paraId="1894AF1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（四）我公司承诺：若我公司中选，将根据贵司要求开展项目相关概念性规划设计工作。</w:t>
      </w:r>
    </w:p>
    <w:p w14:paraId="44BCE7C3">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（五）我公司如中选后拒不签订合同，不依约履行义务，对贵司造成的经济损失，我公司愿依法承担赔偿责任。</w:t>
      </w:r>
    </w:p>
    <w:p w14:paraId="484104EA">
      <w:pPr>
        <w:snapToGrid w:val="0"/>
        <w:spacing w:line="52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特此承诺。</w:t>
      </w:r>
    </w:p>
    <w:p w14:paraId="045DFF18">
      <w:pPr>
        <w:snapToGrid w:val="0"/>
        <w:spacing w:line="520" w:lineRule="exact"/>
        <w:ind w:firstLine="840" w:firstLineChars="300"/>
        <w:rPr>
          <w:rFonts w:ascii="仿宋" w:hAnsi="仿宋" w:eastAsia="仿宋" w:cs="仿宋"/>
          <w:color w:val="000000"/>
          <w:sz w:val="28"/>
          <w:szCs w:val="28"/>
        </w:rPr>
      </w:pPr>
    </w:p>
    <w:p w14:paraId="325CDDB0">
      <w:pPr>
        <w:snapToGrid w:val="0"/>
        <w:spacing w:line="520" w:lineRule="exact"/>
        <w:ind w:firstLine="4200" w:firstLineChars="1500"/>
        <w:rPr>
          <w:rFonts w:ascii="仿宋" w:hAnsi="仿宋" w:eastAsia="仿宋" w:cs="仿宋"/>
          <w:color w:val="000000"/>
          <w:sz w:val="28"/>
          <w:szCs w:val="28"/>
        </w:rPr>
      </w:pPr>
      <w:r>
        <w:rPr>
          <w:rFonts w:hint="eastAsia" w:ascii="仿宋" w:hAnsi="仿宋" w:eastAsia="仿宋" w:cs="仿宋"/>
          <w:color w:val="000000"/>
          <w:sz w:val="28"/>
          <w:szCs w:val="28"/>
        </w:rPr>
        <w:t>响应人：     （盖单位公章）</w:t>
      </w:r>
    </w:p>
    <w:p w14:paraId="45E799DA">
      <w:pPr>
        <w:snapToGrid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法定代表人：    （签字或盖章）</w:t>
      </w:r>
    </w:p>
    <w:p w14:paraId="5A547E0A">
      <w:pPr>
        <w:snapToGrid w:val="0"/>
        <w:spacing w:line="520" w:lineRule="exact"/>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6230E44C">
      <w:pPr>
        <w:spacing w:line="360" w:lineRule="auto"/>
        <w:jc w:val="center"/>
        <w:rPr>
          <w:rFonts w:ascii="仿宋" w:hAnsi="仿宋" w:eastAsia="仿宋" w:cs="仿宋"/>
          <w:b/>
          <w:color w:val="000000"/>
          <w:sz w:val="32"/>
          <w:szCs w:val="32"/>
        </w:rPr>
      </w:pPr>
      <w:r>
        <w:rPr>
          <w:rFonts w:hint="eastAsia" w:ascii="仿宋" w:hAnsi="仿宋" w:eastAsia="仿宋" w:cs="仿宋"/>
          <w:color w:val="000000"/>
          <w:sz w:val="24"/>
        </w:rPr>
        <w:br w:type="page"/>
      </w:r>
      <w:r>
        <w:rPr>
          <w:rFonts w:hint="eastAsia" w:ascii="仿宋" w:hAnsi="仿宋" w:eastAsia="仿宋" w:cs="仿宋"/>
          <w:b/>
          <w:color w:val="000000"/>
          <w:sz w:val="32"/>
          <w:szCs w:val="32"/>
        </w:rPr>
        <w:t>声明函</w:t>
      </w:r>
    </w:p>
    <w:p w14:paraId="4A2E57DC">
      <w:pPr>
        <w:spacing w:line="360" w:lineRule="auto"/>
        <w:jc w:val="center"/>
        <w:rPr>
          <w:rFonts w:ascii="仿宋" w:hAnsi="仿宋" w:eastAsia="仿宋" w:cs="仿宋"/>
          <w:b/>
          <w:color w:val="000000"/>
          <w:sz w:val="32"/>
          <w:szCs w:val="32"/>
        </w:rPr>
      </w:pPr>
    </w:p>
    <w:p w14:paraId="3D9E465A">
      <w:pPr>
        <w:snapToGri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致：福建</w:t>
      </w:r>
      <w:r>
        <w:rPr>
          <w:rFonts w:hint="eastAsia" w:ascii="仿宋" w:hAnsi="仿宋" w:eastAsia="仿宋" w:cs="仿宋"/>
          <w:color w:val="000000"/>
          <w:sz w:val="28"/>
          <w:szCs w:val="28"/>
          <w:u w:val="single"/>
        </w:rPr>
        <w:t>福旅青年文化交流有限公司</w:t>
      </w:r>
    </w:p>
    <w:p w14:paraId="44464AED">
      <w:pPr>
        <w:snapToGri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我公司在此声明具备并满足以下条款规定，本声明如有虚假或不实之处，本公司将失去参与本项目响应的资格：</w:t>
      </w:r>
    </w:p>
    <w:p w14:paraId="0C00623D">
      <w:pPr>
        <w:snapToGri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1、具有良好的商业信誉和健全的财务会计制度。</w:t>
      </w:r>
    </w:p>
    <w:p w14:paraId="4B0F7600">
      <w:pPr>
        <w:snapToGri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2、具有履行合同所必需的设备和专业技术能力。</w:t>
      </w:r>
    </w:p>
    <w:p w14:paraId="14BF2E01">
      <w:pPr>
        <w:snapToGri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3、具有依法缴纳税收和社保资金的良好记录。</w:t>
      </w:r>
    </w:p>
    <w:p w14:paraId="3D50BFA1">
      <w:pPr>
        <w:snapToGrid w:val="0"/>
        <w:spacing w:line="600" w:lineRule="exact"/>
        <w:ind w:firstLine="560" w:firstLineChars="200"/>
        <w:rPr>
          <w:rFonts w:ascii="仿宋" w:hAnsi="仿宋" w:eastAsia="仿宋" w:cs="仿宋"/>
          <w:color w:val="000000"/>
          <w:sz w:val="28"/>
          <w:szCs w:val="28"/>
        </w:rPr>
      </w:pPr>
    </w:p>
    <w:p w14:paraId="17DE0ABE">
      <w:pPr>
        <w:snapToGri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特此声明。</w:t>
      </w:r>
    </w:p>
    <w:p w14:paraId="45AFC4C8">
      <w:pPr>
        <w:spacing w:line="360" w:lineRule="auto"/>
        <w:rPr>
          <w:rFonts w:ascii="仿宋" w:hAnsi="仿宋" w:eastAsia="仿宋" w:cs="仿宋"/>
          <w:color w:val="000000"/>
          <w:sz w:val="28"/>
          <w:szCs w:val="28"/>
        </w:rPr>
      </w:pPr>
    </w:p>
    <w:p w14:paraId="2B5442D0">
      <w:pPr>
        <w:spacing w:line="360" w:lineRule="auto"/>
        <w:rPr>
          <w:rFonts w:ascii="仿宋" w:hAnsi="仿宋" w:eastAsia="仿宋" w:cs="仿宋"/>
          <w:color w:val="000000"/>
          <w:sz w:val="28"/>
          <w:szCs w:val="28"/>
        </w:rPr>
      </w:pPr>
    </w:p>
    <w:p w14:paraId="25FD0A6B">
      <w:pPr>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14:paraId="63003309">
      <w:pPr>
        <w:pStyle w:val="14"/>
        <w:ind w:firstLine="560"/>
        <w:rPr>
          <w:rFonts w:ascii="仿宋" w:hAnsi="仿宋" w:eastAsia="仿宋" w:cs="仿宋"/>
          <w:sz w:val="28"/>
          <w:szCs w:val="28"/>
        </w:rPr>
      </w:pPr>
    </w:p>
    <w:p w14:paraId="435F79D1">
      <w:pPr>
        <w:pStyle w:val="14"/>
        <w:ind w:firstLine="560"/>
        <w:rPr>
          <w:rFonts w:ascii="仿宋" w:hAnsi="仿宋" w:eastAsia="仿宋" w:cs="仿宋"/>
          <w:sz w:val="28"/>
          <w:szCs w:val="28"/>
        </w:rPr>
      </w:pPr>
    </w:p>
    <w:p w14:paraId="1536FB3D">
      <w:pPr>
        <w:pStyle w:val="14"/>
        <w:ind w:firstLine="560"/>
        <w:rPr>
          <w:rFonts w:ascii="仿宋" w:hAnsi="仿宋" w:eastAsia="仿宋" w:cs="仿宋"/>
          <w:sz w:val="28"/>
          <w:szCs w:val="28"/>
        </w:rPr>
      </w:pPr>
    </w:p>
    <w:p w14:paraId="3CF99612">
      <w:pPr>
        <w:pStyle w:val="14"/>
        <w:ind w:firstLine="560"/>
        <w:rPr>
          <w:rFonts w:ascii="仿宋" w:hAnsi="仿宋" w:eastAsia="仿宋" w:cs="仿宋"/>
          <w:sz w:val="28"/>
          <w:szCs w:val="28"/>
        </w:rPr>
      </w:pPr>
    </w:p>
    <w:p w14:paraId="1CD8EC43">
      <w:pPr>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响应人：     （盖单位公章）</w:t>
      </w:r>
    </w:p>
    <w:p w14:paraId="4179C36A">
      <w:pPr>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法定代表人：    （签字或盖章）</w:t>
      </w:r>
    </w:p>
    <w:p w14:paraId="373DA834">
      <w:pPr>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54C7E2AE">
      <w:pPr>
        <w:adjustRightInd w:val="0"/>
        <w:spacing w:line="360" w:lineRule="auto"/>
        <w:textAlignment w:val="baseline"/>
        <w:rPr>
          <w:rFonts w:ascii="仿宋" w:hAnsi="仿宋" w:eastAsia="仿宋" w:cs="仿宋"/>
          <w:color w:val="000000"/>
          <w:sz w:val="28"/>
          <w:szCs w:val="28"/>
        </w:rPr>
      </w:pPr>
    </w:p>
    <w:p w14:paraId="79EC7DD4">
      <w:pPr>
        <w:spacing w:line="360" w:lineRule="auto"/>
        <w:jc w:val="center"/>
        <w:rPr>
          <w:rFonts w:ascii="仿宋" w:hAnsi="仿宋" w:eastAsia="仿宋" w:cs="仿宋"/>
          <w:b/>
          <w:color w:val="000000"/>
          <w:sz w:val="28"/>
          <w:szCs w:val="28"/>
        </w:rPr>
      </w:pPr>
      <w:r>
        <w:rPr>
          <w:rFonts w:hint="eastAsia" w:ascii="仿宋" w:hAnsi="仿宋" w:eastAsia="仿宋" w:cs="仿宋"/>
          <w:color w:val="000000"/>
          <w:sz w:val="28"/>
          <w:szCs w:val="28"/>
        </w:rPr>
        <w:br w:type="page"/>
      </w:r>
      <w:r>
        <w:rPr>
          <w:rFonts w:hint="eastAsia" w:ascii="仿宋" w:hAnsi="仿宋" w:eastAsia="仿宋" w:cs="仿宋"/>
          <w:b/>
          <w:color w:val="000000"/>
          <w:sz w:val="32"/>
          <w:szCs w:val="32"/>
        </w:rPr>
        <w:t>资质证书</w:t>
      </w:r>
    </w:p>
    <w:p w14:paraId="62195F34">
      <w:pPr>
        <w:spacing w:line="360" w:lineRule="auto"/>
        <w:jc w:val="center"/>
        <w:rPr>
          <w:rFonts w:ascii="仿宋" w:hAnsi="仿宋" w:eastAsia="仿宋" w:cs="仿宋"/>
          <w:color w:val="000000"/>
        </w:rPr>
      </w:pPr>
    </w:p>
    <w:p w14:paraId="383C86F1">
      <w:pPr>
        <w:spacing w:line="360" w:lineRule="auto"/>
        <w:jc w:val="center"/>
        <w:rPr>
          <w:rFonts w:ascii="仿宋" w:hAnsi="仿宋" w:eastAsia="仿宋" w:cs="仿宋"/>
          <w:color w:val="000000"/>
        </w:rPr>
      </w:pPr>
    </w:p>
    <w:p w14:paraId="55FE0407">
      <w:pPr>
        <w:rPr>
          <w:rFonts w:ascii="仿宋" w:hAnsi="仿宋" w:eastAsia="仿宋" w:cs="仿宋"/>
        </w:rPr>
      </w:pPr>
    </w:p>
    <w:p w14:paraId="2D74077F">
      <w:pPr>
        <w:rPr>
          <w:rFonts w:ascii="仿宋" w:hAnsi="仿宋" w:eastAsia="仿宋" w:cs="仿宋"/>
        </w:rPr>
      </w:pPr>
    </w:p>
    <w:p w14:paraId="66F637C6">
      <w:pPr>
        <w:rPr>
          <w:rFonts w:ascii="仿宋" w:hAnsi="仿宋" w:eastAsia="仿宋" w:cs="仿宋"/>
        </w:rPr>
      </w:pPr>
    </w:p>
    <w:p w14:paraId="0E6DA8A3">
      <w:pPr>
        <w:rPr>
          <w:rFonts w:ascii="仿宋" w:hAnsi="仿宋" w:eastAsia="仿宋" w:cs="仿宋"/>
        </w:rPr>
      </w:pPr>
    </w:p>
    <w:p w14:paraId="355C01B7">
      <w:pPr>
        <w:rPr>
          <w:rFonts w:ascii="仿宋" w:hAnsi="仿宋" w:eastAsia="仿宋" w:cs="仿宋"/>
        </w:rPr>
      </w:pPr>
    </w:p>
    <w:p w14:paraId="4D79FCCE">
      <w:pPr>
        <w:rPr>
          <w:rFonts w:ascii="仿宋" w:hAnsi="仿宋" w:eastAsia="仿宋" w:cs="仿宋"/>
        </w:rPr>
      </w:pPr>
    </w:p>
    <w:p w14:paraId="0ABA345D">
      <w:pPr>
        <w:rPr>
          <w:rFonts w:ascii="仿宋" w:hAnsi="仿宋" w:eastAsia="仿宋" w:cs="仿宋"/>
        </w:rPr>
      </w:pPr>
    </w:p>
    <w:p w14:paraId="5D315954">
      <w:pPr>
        <w:rPr>
          <w:rFonts w:ascii="仿宋" w:hAnsi="仿宋" w:eastAsia="仿宋" w:cs="仿宋"/>
        </w:rPr>
      </w:pPr>
    </w:p>
    <w:p w14:paraId="66AD8A6D">
      <w:pPr>
        <w:rPr>
          <w:rFonts w:ascii="仿宋" w:hAnsi="仿宋" w:eastAsia="仿宋" w:cs="仿宋"/>
        </w:rPr>
      </w:pPr>
    </w:p>
    <w:p w14:paraId="18C33301">
      <w:pPr>
        <w:rPr>
          <w:rFonts w:ascii="仿宋" w:hAnsi="仿宋" w:eastAsia="仿宋" w:cs="仿宋"/>
        </w:rPr>
      </w:pPr>
    </w:p>
    <w:p w14:paraId="1C090C56">
      <w:pPr>
        <w:rPr>
          <w:rFonts w:ascii="仿宋" w:hAnsi="仿宋" w:eastAsia="仿宋" w:cs="仿宋"/>
        </w:rPr>
      </w:pPr>
    </w:p>
    <w:p w14:paraId="5E88FD88">
      <w:pPr>
        <w:rPr>
          <w:rFonts w:ascii="仿宋" w:hAnsi="仿宋" w:eastAsia="仿宋" w:cs="仿宋"/>
        </w:rPr>
      </w:pPr>
    </w:p>
    <w:p w14:paraId="5CDF64D4">
      <w:pPr>
        <w:rPr>
          <w:rFonts w:ascii="仿宋" w:hAnsi="仿宋" w:eastAsia="仿宋" w:cs="仿宋"/>
        </w:rPr>
      </w:pPr>
    </w:p>
    <w:p w14:paraId="2B353967">
      <w:pPr>
        <w:rPr>
          <w:rFonts w:ascii="仿宋" w:hAnsi="仿宋" w:eastAsia="仿宋" w:cs="仿宋"/>
        </w:rPr>
      </w:pPr>
    </w:p>
    <w:p w14:paraId="218CEE3C">
      <w:pPr>
        <w:rPr>
          <w:rFonts w:ascii="仿宋" w:hAnsi="仿宋" w:eastAsia="仿宋" w:cs="仿宋"/>
        </w:rPr>
      </w:pPr>
    </w:p>
    <w:p w14:paraId="2450B390">
      <w:pPr>
        <w:rPr>
          <w:rFonts w:ascii="仿宋" w:hAnsi="仿宋" w:eastAsia="仿宋" w:cs="仿宋"/>
        </w:rPr>
      </w:pPr>
    </w:p>
    <w:p w14:paraId="247AFA94">
      <w:pPr>
        <w:rPr>
          <w:rFonts w:ascii="仿宋" w:hAnsi="仿宋" w:eastAsia="仿宋" w:cs="仿宋"/>
        </w:rPr>
      </w:pPr>
    </w:p>
    <w:p w14:paraId="623B99EA">
      <w:pPr>
        <w:rPr>
          <w:rFonts w:ascii="仿宋" w:hAnsi="仿宋" w:eastAsia="仿宋" w:cs="仿宋"/>
        </w:rPr>
      </w:pPr>
    </w:p>
    <w:p w14:paraId="2292EB09">
      <w:pPr>
        <w:rPr>
          <w:rFonts w:ascii="仿宋" w:hAnsi="仿宋" w:eastAsia="仿宋" w:cs="仿宋"/>
        </w:rPr>
      </w:pPr>
    </w:p>
    <w:p w14:paraId="579E4E78">
      <w:pPr>
        <w:rPr>
          <w:rFonts w:ascii="仿宋" w:hAnsi="仿宋" w:eastAsia="仿宋" w:cs="仿宋"/>
        </w:rPr>
      </w:pPr>
    </w:p>
    <w:p w14:paraId="21B5F322">
      <w:pPr>
        <w:rPr>
          <w:rFonts w:ascii="仿宋" w:hAnsi="仿宋" w:eastAsia="仿宋" w:cs="仿宋"/>
        </w:rPr>
      </w:pPr>
    </w:p>
    <w:p w14:paraId="1B901E92">
      <w:pPr>
        <w:rPr>
          <w:rFonts w:ascii="仿宋" w:hAnsi="仿宋" w:eastAsia="仿宋" w:cs="仿宋"/>
        </w:rPr>
      </w:pPr>
    </w:p>
    <w:p w14:paraId="0BBE1E9A">
      <w:pPr>
        <w:rPr>
          <w:rFonts w:ascii="仿宋" w:hAnsi="仿宋" w:eastAsia="仿宋" w:cs="仿宋"/>
        </w:rPr>
      </w:pPr>
    </w:p>
    <w:p w14:paraId="4330F816">
      <w:pPr>
        <w:rPr>
          <w:rFonts w:ascii="仿宋" w:hAnsi="仿宋" w:eastAsia="仿宋" w:cs="仿宋"/>
        </w:rPr>
      </w:pPr>
    </w:p>
    <w:p w14:paraId="24BFC95B">
      <w:pPr>
        <w:rPr>
          <w:rFonts w:ascii="仿宋" w:hAnsi="仿宋" w:eastAsia="仿宋" w:cs="仿宋"/>
        </w:rPr>
      </w:pPr>
    </w:p>
    <w:p w14:paraId="443BB208">
      <w:pPr>
        <w:rPr>
          <w:rFonts w:ascii="仿宋" w:hAnsi="仿宋" w:eastAsia="仿宋" w:cs="仿宋"/>
        </w:rPr>
      </w:pPr>
    </w:p>
    <w:p w14:paraId="223C35C7">
      <w:pPr>
        <w:rPr>
          <w:rFonts w:ascii="仿宋" w:hAnsi="仿宋" w:eastAsia="仿宋" w:cs="仿宋"/>
        </w:rPr>
      </w:pPr>
    </w:p>
    <w:p w14:paraId="79D07DE9">
      <w:pPr>
        <w:rPr>
          <w:rFonts w:ascii="仿宋" w:hAnsi="仿宋" w:eastAsia="仿宋" w:cs="仿宋"/>
        </w:rPr>
      </w:pPr>
    </w:p>
    <w:p w14:paraId="73A378CA">
      <w:pPr>
        <w:rPr>
          <w:rFonts w:ascii="仿宋" w:hAnsi="仿宋" w:eastAsia="仿宋" w:cs="仿宋"/>
        </w:rPr>
      </w:pPr>
    </w:p>
    <w:p w14:paraId="30E1EE4D">
      <w:pPr>
        <w:rPr>
          <w:rFonts w:ascii="仿宋" w:hAnsi="仿宋" w:eastAsia="仿宋" w:cs="仿宋"/>
        </w:rPr>
      </w:pPr>
    </w:p>
    <w:p w14:paraId="6EF3A5B8">
      <w:pPr>
        <w:rPr>
          <w:rFonts w:ascii="仿宋" w:hAnsi="仿宋" w:eastAsia="仿宋" w:cs="仿宋"/>
        </w:rPr>
      </w:pPr>
    </w:p>
    <w:p w14:paraId="4EF3BEAE">
      <w:pPr>
        <w:rPr>
          <w:rFonts w:ascii="仿宋" w:hAnsi="仿宋" w:eastAsia="仿宋" w:cs="仿宋"/>
        </w:rPr>
      </w:pPr>
    </w:p>
    <w:p w14:paraId="432C554E">
      <w:pPr>
        <w:rPr>
          <w:rFonts w:ascii="仿宋" w:hAnsi="仿宋" w:eastAsia="仿宋" w:cs="仿宋"/>
        </w:rPr>
      </w:pPr>
    </w:p>
    <w:p w14:paraId="7B382BE3">
      <w:pPr>
        <w:rPr>
          <w:rFonts w:ascii="仿宋" w:hAnsi="仿宋" w:eastAsia="仿宋" w:cs="仿宋"/>
        </w:rPr>
      </w:pPr>
    </w:p>
    <w:p w14:paraId="76C6988A">
      <w:pPr>
        <w:rPr>
          <w:rFonts w:ascii="仿宋" w:hAnsi="仿宋" w:eastAsia="仿宋" w:cs="仿宋"/>
        </w:rPr>
      </w:pPr>
    </w:p>
    <w:p w14:paraId="7F0D4355">
      <w:pPr>
        <w:rPr>
          <w:rFonts w:ascii="仿宋" w:hAnsi="仿宋" w:eastAsia="仿宋" w:cs="仿宋"/>
        </w:rPr>
      </w:pPr>
    </w:p>
    <w:p w14:paraId="03C7C214">
      <w:pPr>
        <w:rPr>
          <w:rFonts w:ascii="仿宋" w:hAnsi="仿宋" w:eastAsia="仿宋" w:cs="仿宋"/>
        </w:rPr>
      </w:pPr>
    </w:p>
    <w:p w14:paraId="74BA65F8">
      <w:pPr>
        <w:rPr>
          <w:rFonts w:ascii="仿宋" w:hAnsi="仿宋" w:eastAsia="仿宋" w:cs="仿宋"/>
        </w:rPr>
      </w:pPr>
    </w:p>
    <w:p w14:paraId="174A9515">
      <w:pPr>
        <w:rPr>
          <w:rFonts w:ascii="仿宋" w:hAnsi="仿宋" w:eastAsia="仿宋" w:cs="仿宋"/>
        </w:rPr>
      </w:pPr>
    </w:p>
    <w:p w14:paraId="7054FB32">
      <w:pPr>
        <w:widowControl/>
        <w:jc w:val="center"/>
        <w:rPr>
          <w:rFonts w:ascii="仿宋" w:hAnsi="仿宋" w:eastAsia="仿宋" w:cs="仿宋"/>
          <w:kern w:val="0"/>
          <w:sz w:val="28"/>
          <w:szCs w:val="28"/>
          <w:lang w:bidi="ar"/>
        </w:rPr>
      </w:pPr>
      <w:r>
        <w:rPr>
          <w:rFonts w:hint="eastAsia" w:ascii="仿宋" w:hAnsi="仿宋" w:eastAsia="仿宋" w:cs="仿宋"/>
          <w:b/>
          <w:bCs/>
          <w:kern w:val="0"/>
          <w:sz w:val="32"/>
          <w:szCs w:val="32"/>
          <w:lang w:bidi="ar"/>
        </w:rPr>
        <w:t>报价函</w:t>
      </w:r>
    </w:p>
    <w:p w14:paraId="1766D0EA">
      <w:pPr>
        <w:widowControl/>
        <w:jc w:val="left"/>
        <w:rPr>
          <w:rFonts w:ascii="仿宋" w:hAnsi="仿宋" w:eastAsia="仿宋" w:cs="仿宋"/>
          <w:kern w:val="0"/>
          <w:sz w:val="28"/>
          <w:szCs w:val="28"/>
          <w:u w:val="single"/>
          <w:lang w:bidi="ar"/>
        </w:rPr>
      </w:pPr>
    </w:p>
    <w:p w14:paraId="08263480">
      <w:pPr>
        <w:widowControl/>
        <w:jc w:val="left"/>
        <w:rPr>
          <w:rFonts w:ascii="仿宋" w:hAnsi="仿宋" w:eastAsia="仿宋" w:cs="仿宋"/>
          <w:kern w:val="0"/>
          <w:sz w:val="28"/>
          <w:szCs w:val="28"/>
          <w:u w:val="single"/>
          <w:lang w:bidi="ar"/>
        </w:rPr>
      </w:pPr>
      <w:r>
        <w:rPr>
          <w:rFonts w:hint="eastAsia" w:ascii="仿宋" w:hAnsi="仿宋" w:eastAsia="仿宋" w:cs="仿宋"/>
          <w:color w:val="000000"/>
          <w:sz w:val="28"/>
          <w:szCs w:val="28"/>
        </w:rPr>
        <w:t>福建</w:t>
      </w:r>
      <w:r>
        <w:rPr>
          <w:rFonts w:hint="eastAsia" w:ascii="仿宋" w:hAnsi="仿宋" w:eastAsia="仿宋" w:cs="仿宋"/>
          <w:color w:val="000000"/>
          <w:sz w:val="28"/>
          <w:szCs w:val="28"/>
          <w:u w:val="single"/>
        </w:rPr>
        <w:t>福旅青年文化交流有限公司</w:t>
      </w:r>
      <w:r>
        <w:rPr>
          <w:rFonts w:hint="eastAsia" w:ascii="仿宋" w:hAnsi="仿宋" w:eastAsia="仿宋" w:cs="仿宋"/>
          <w:kern w:val="0"/>
          <w:sz w:val="28"/>
          <w:szCs w:val="28"/>
          <w:u w:val="single"/>
          <w:lang w:bidi="ar"/>
        </w:rPr>
        <w:t xml:space="preserve">: </w:t>
      </w:r>
    </w:p>
    <w:p w14:paraId="2D36C727">
      <w:pPr>
        <w:widowControl/>
        <w:ind w:firstLine="560" w:firstLineChars="200"/>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 xml:space="preserve">我司对金銮湾景区（福莱喜大酒店）概念性规划设计服务费报价：含税包干总价** 万元（大写**万元）。 </w:t>
      </w:r>
    </w:p>
    <w:p w14:paraId="69BB368C">
      <w:pPr>
        <w:widowControl/>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 xml:space="preserve">专致此函。 </w:t>
      </w:r>
    </w:p>
    <w:p w14:paraId="30453990">
      <w:pPr>
        <w:widowControl/>
        <w:ind w:firstLine="2800" w:firstLineChars="1000"/>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响应人：  （公章）</w:t>
      </w:r>
    </w:p>
    <w:p w14:paraId="43EF02B6">
      <w:pPr>
        <w:widowControl/>
        <w:ind w:firstLine="2800" w:firstLineChars="1000"/>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法定代表人或其授权代理人（签字或盖章）：</w:t>
      </w:r>
    </w:p>
    <w:p w14:paraId="213E9B32">
      <w:pPr>
        <w:widowControl/>
        <w:ind w:firstLine="2800" w:firstLineChars="1000"/>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地址：</w:t>
      </w:r>
    </w:p>
    <w:p w14:paraId="2064307A">
      <w:pPr>
        <w:widowControl/>
        <w:ind w:firstLine="2800" w:firstLineChars="1000"/>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电话：</w:t>
      </w:r>
    </w:p>
    <w:p w14:paraId="52435CEC">
      <w:pPr>
        <w:widowControl/>
        <w:ind w:firstLine="2800" w:firstLineChars="1000"/>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传真：</w:t>
      </w:r>
    </w:p>
    <w:p w14:paraId="4838A580">
      <w:pPr>
        <w:widowControl/>
        <w:ind w:firstLine="2800" w:firstLineChars="1000"/>
        <w:jc w:val="left"/>
        <w:rPr>
          <w:rFonts w:ascii="仿宋" w:hAnsi="仿宋" w:eastAsia="仿宋" w:cs="仿宋"/>
          <w:kern w:val="0"/>
          <w:sz w:val="28"/>
          <w:szCs w:val="28"/>
          <w:u w:val="single"/>
          <w:lang w:bidi="ar"/>
        </w:rPr>
      </w:pPr>
      <w:r>
        <w:rPr>
          <w:rFonts w:hint="eastAsia" w:ascii="仿宋" w:hAnsi="仿宋" w:eastAsia="仿宋" w:cs="仿宋"/>
          <w:kern w:val="0"/>
          <w:sz w:val="28"/>
          <w:szCs w:val="28"/>
          <w:u w:val="single"/>
          <w:lang w:bidi="ar"/>
        </w:rPr>
        <w:t>日期： 年 月 日</w:t>
      </w:r>
    </w:p>
    <w:p w14:paraId="6866B018">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NGQwNWZkZjQyNjBhMDViMjVlYzc4NzMxZTg5OGMifQ=="/>
  </w:docVars>
  <w:rsids>
    <w:rsidRoot w:val="018E19A4"/>
    <w:rsid w:val="004B2344"/>
    <w:rsid w:val="00593300"/>
    <w:rsid w:val="009A330E"/>
    <w:rsid w:val="00CF64A2"/>
    <w:rsid w:val="018E19A4"/>
    <w:rsid w:val="062E3A4A"/>
    <w:rsid w:val="09065BB7"/>
    <w:rsid w:val="0DDD0F79"/>
    <w:rsid w:val="1ACF6A3B"/>
    <w:rsid w:val="1B686F9F"/>
    <w:rsid w:val="23F30C56"/>
    <w:rsid w:val="262E398A"/>
    <w:rsid w:val="280E36B2"/>
    <w:rsid w:val="295761E2"/>
    <w:rsid w:val="2AC92840"/>
    <w:rsid w:val="2B411AC1"/>
    <w:rsid w:val="2BC5737C"/>
    <w:rsid w:val="2D9C26CE"/>
    <w:rsid w:val="36C26364"/>
    <w:rsid w:val="396401AD"/>
    <w:rsid w:val="440D0753"/>
    <w:rsid w:val="44F3276C"/>
    <w:rsid w:val="4BE52395"/>
    <w:rsid w:val="4E591E2A"/>
    <w:rsid w:val="4FC17652"/>
    <w:rsid w:val="50125E3D"/>
    <w:rsid w:val="514050BD"/>
    <w:rsid w:val="53AB5B26"/>
    <w:rsid w:val="56FF5DC1"/>
    <w:rsid w:val="597A3348"/>
    <w:rsid w:val="5B5F03A4"/>
    <w:rsid w:val="5C2D68AB"/>
    <w:rsid w:val="64786283"/>
    <w:rsid w:val="67C957CC"/>
    <w:rsid w:val="6FE43E1F"/>
    <w:rsid w:val="7172232C"/>
    <w:rsid w:val="73EB393E"/>
    <w:rsid w:val="769D397C"/>
    <w:rsid w:val="78FD2C22"/>
    <w:rsid w:val="7DAE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index 6"/>
    <w:basedOn w:val="1"/>
    <w:next w:val="1"/>
    <w:qFormat/>
    <w:uiPriority w:val="0"/>
    <w:pPr>
      <w:ind w:left="2100"/>
    </w:pPr>
  </w:style>
  <w:style w:type="paragraph" w:styleId="7">
    <w:name w:val="Body Text"/>
    <w:basedOn w:val="1"/>
    <w:qFormat/>
    <w:uiPriority w:val="0"/>
    <w:pPr>
      <w:adjustRightInd w:val="0"/>
      <w:spacing w:after="60" w:line="360" w:lineRule="atLeast"/>
      <w:ind w:left="72" w:leftChars="30" w:right="30" w:rightChars="30"/>
      <w:jc w:val="center"/>
      <w:textAlignment w:val="baseline"/>
    </w:pPr>
    <w:rPr>
      <w:szCs w:val="22"/>
    </w:rPr>
  </w:style>
  <w:style w:type="paragraph" w:styleId="8">
    <w:name w:val="Body Text Indent"/>
    <w:basedOn w:val="1"/>
    <w:next w:val="9"/>
    <w:qFormat/>
    <w:uiPriority w:val="99"/>
    <w:pPr>
      <w:spacing w:after="120"/>
      <w:ind w:left="420" w:leftChars="200"/>
    </w:pPr>
  </w:style>
  <w:style w:type="paragraph" w:styleId="9">
    <w:name w:val="header"/>
    <w:basedOn w:val="1"/>
    <w:qFormat/>
    <w:uiPriority w:val="0"/>
    <w:pPr>
      <w:pBdr>
        <w:bottom w:val="single" w:color="auto" w:sz="6" w:space="1"/>
      </w:pBdr>
      <w:tabs>
        <w:tab w:val="center" w:pos="4153"/>
        <w:tab w:val="right" w:pos="8306"/>
      </w:tabs>
      <w:adjustRightInd w:val="0"/>
      <w:snapToGrid w:val="0"/>
      <w:jc w:val="center"/>
    </w:pPr>
  </w:style>
  <w:style w:type="paragraph" w:styleId="10">
    <w:name w:val="Balloon Text"/>
    <w:basedOn w:val="1"/>
    <w:link w:val="1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w:basedOn w:val="7"/>
    <w:unhideWhenUsed/>
    <w:qFormat/>
    <w:uiPriority w:val="0"/>
    <w:pPr>
      <w:ind w:firstLine="420" w:firstLineChars="100"/>
    </w:pPr>
  </w:style>
  <w:style w:type="paragraph" w:styleId="14">
    <w:name w:val="Body Text First Indent 2"/>
    <w:basedOn w:val="8"/>
    <w:next w:val="6"/>
    <w:autoRedefine/>
    <w:qFormat/>
    <w:uiPriority w:val="0"/>
    <w:pPr>
      <w:ind w:firstLine="420" w:firstLineChars="200"/>
    </w:pPr>
  </w:style>
  <w:style w:type="character" w:styleId="17">
    <w:name w:val="Strong"/>
    <w:basedOn w:val="16"/>
    <w:autoRedefine/>
    <w:qFormat/>
    <w:uiPriority w:val="0"/>
    <w:rPr>
      <w:b/>
    </w:rPr>
  </w:style>
  <w:style w:type="paragraph" w:customStyle="1" w:styleId="18">
    <w:name w:val="null3"/>
    <w:qFormat/>
    <w:uiPriority w:val="0"/>
    <w:rPr>
      <w:rFonts w:hint="eastAsia" w:ascii="Calibri" w:hAnsi="Calibri" w:eastAsia="宋体" w:cs="黑体"/>
      <w:lang w:val="en-US" w:eastAsia="zh-CN" w:bidi="ar-SA"/>
    </w:rPr>
  </w:style>
  <w:style w:type="character" w:customStyle="1" w:styleId="19">
    <w:name w:val="批注框文本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6531</Words>
  <Characters>6639</Characters>
  <Lines>57</Lines>
  <Paragraphs>16</Paragraphs>
  <TotalTime>0</TotalTime>
  <ScaleCrop>false</ScaleCrop>
  <LinksUpToDate>false</LinksUpToDate>
  <CharactersWithSpaces>7616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2025-07-23T01:12:00Z</dcterms:created>
  <dc:creator>wtf</dc:creator>
  <cp:lastModifiedBy>wtf</cp:lastModifiedBy>
  <cp:lastPrinted>2025-07-23T07:10:00Z</cp:lastPrinted>
  <dcterms:modified xsi:type="dcterms:W3CDTF">2025-07-23T07:23:48Z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A141D3D65399401A9D10654C4986F424_13</vt:lpwstr>
  </property>
  <property fmtid="{D5CDD505-2E9C-101B-9397-08002B2CF9AE}" pid="4" name="KSOTemplateDocerSaveRecord">
    <vt:lpwstr>eyJoZGlkIjoiZTQwMmI0MmRlNTgwMDJhMzU3NzQ4MTc0MDQ5MjYxYzYiLCJ1c2VySWQiOiI0NzU4NTE2MzQifQ==</vt:lpwstr>
  </property>
</Properties>
</file>